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Приложение 8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к решению Собрания депутатов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0"/>
          <w:szCs w:val="20"/>
        </w:rPr>
        <w:t xml:space="preserve">от .00.2023г. № </w:t>
      </w: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</w:t>
      </w:r>
      <w:r>
        <w:rPr>
          <w:rFonts w:cs="Times New Roman" w:ascii="Times New Roman" w:hAnsi="Times New Roman"/>
          <w:sz w:val="24"/>
          <w:szCs w:val="24"/>
        </w:rPr>
        <w:t>Отчет об использовании ассигнований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Дорожного фонда МО «Палкинский район»  за  2022 год                </w:t>
      </w:r>
    </w:p>
    <w:p>
      <w:pPr>
        <w:pStyle w:val="Normal"/>
        <w:tabs>
          <w:tab w:val="clear" w:pos="708"/>
          <w:tab w:val="left" w:pos="834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>ДОХОДЫ</w:t>
      </w: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</w:rPr>
        <w:t>тыс.руб.</w:t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86"/>
        <w:gridCol w:w="1830"/>
        <w:gridCol w:w="1483"/>
        <w:gridCol w:w="1371"/>
      </w:tblGrid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Наименование доходов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план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исполнение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% исп.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Доходы от уплаты акцизов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 дизельное топливо, зачисляемые  в консолидированные  бюджеты  субъектов Российской Федерации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5613,0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6098,8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108,6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Доходы от уплаты акцизов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 моторные масла для дизельных  и (или) карбюраторных (инжекторных) двигателей, зачисляемые  в консолидированные  бюджеты  субъектов Российской Федерации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32,9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65,8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Доходы от уплаты акцизов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  автомобильный бензин, производимый на территории  Российской Федерации,                         зачисляемые  в консолидированные  бюджеты  субъектов Российской Федерации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6600,0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6733,7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102,0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Доходы от уплаты акцизов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 прямогонный бензин, производимый на территории  Российской Федерации,                               зачисляемые  в консолидированные  бюджеты  субъектов Российской Федерации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-750,0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-699,7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93,3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Субсидии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области в рамках подпрограммы «Дорожное хозяйство»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10725,0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10725,0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100,0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Иные межбюджетные трансферты в рамках НП «Безопасные  и качественные дороги»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21381,0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21381,0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100,0</w:t>
            </w:r>
          </w:p>
        </w:tc>
      </w:tr>
      <w:tr>
        <w:trPr>
          <w:trHeight w:val="376" w:hRule="atLeast"/>
        </w:trPr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ИТОГО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43619,0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44271,7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101,5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РАСХОДЫ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Выполнение работ по обеспечению сохранности автомобильных дорог общего пользования районного значения в рамках подпрограммы «Дорожное хозяйство» муниципальной программы Палкинского района «Развитие транспортной системы на территории муниципального образования «Палкинский район»»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15779,7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7158,5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45,4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Расходы на осуществление дорожной деятельности,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района в рамках подпрограммы "Дорожное хозяйство" муниципальной программы Палкинского района "Развитие транспортной системы на территории муниципального образования "Палкинский район"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10725,0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10725,0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100,0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Софинансирование на выполнение работ по капитальному ремонту и ремонту дворовых территорий многоквартирных домов, проездов к дворовым территориям многоквартирных домов в рамках подпрограммы "Дорожное хозяйство" муниципальной программы Палкинского района "Развитие транспортной системы на территории муниципального образования "Палкинский район»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108,3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Финансовое обеспечение дорожной деятельности в рамках реализации национального проекта «Безопасные  и качественные дороги»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21381,0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21381,0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100,0</w:t>
            </w:r>
          </w:p>
        </w:tc>
      </w:tr>
      <w:tr>
        <w:trPr/>
        <w:tc>
          <w:tcPr>
            <w:tcW w:w="48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kern w:val="0"/>
                <w:sz w:val="24"/>
                <w:szCs w:val="24"/>
                <w:lang w:val="ru-RU" w:eastAsia="en-US" w:bidi="ar-SA"/>
              </w:rPr>
              <w:t>Снижение уровня аварийности и травматизма на дорогах района</w:t>
            </w:r>
          </w:p>
        </w:tc>
        <w:tc>
          <w:tcPr>
            <w:tcW w:w="183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20,0</w:t>
            </w:r>
          </w:p>
        </w:tc>
        <w:tc>
          <w:tcPr>
            <w:tcW w:w="148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20,0</w:t>
            </w:r>
          </w:p>
        </w:tc>
        <w:tc>
          <w:tcPr>
            <w:tcW w:w="137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100,0</w:t>
            </w:r>
          </w:p>
        </w:tc>
      </w:tr>
      <w:tr>
        <w:trPr/>
        <w:tc>
          <w:tcPr>
            <w:tcW w:w="4886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b/>
                <w:b/>
                <w:bCs/>
              </w:rPr>
            </w:pPr>
            <w:r>
              <w:rPr>
                <w:rFonts w:eastAsia="Calibri"/>
                <w:b/>
                <w:bCs/>
                <w:kern w:val="0"/>
                <w:lang w:val="ru-RU" w:eastAsia="en-US" w:bidi="ar-SA"/>
              </w:rPr>
              <w:t>ИТОГО</w:t>
            </w:r>
          </w:p>
        </w:tc>
        <w:tc>
          <w:tcPr>
            <w:tcW w:w="1830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48014,0</w:t>
            </w:r>
          </w:p>
        </w:tc>
        <w:tc>
          <w:tcPr>
            <w:tcW w:w="1483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39392,8</w:t>
            </w:r>
          </w:p>
        </w:tc>
        <w:tc>
          <w:tcPr>
            <w:tcW w:w="1371" w:type="dxa"/>
            <w:tcBorders>
              <w:top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8347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82,0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8347" w:leader="none"/>
        </w:tabs>
        <w:suppressAutoHyphens w:val="true"/>
        <w:spacing w:lineRule="auto" w:line="240" w:before="0" w:after="0"/>
        <w:jc w:val="left"/>
        <w:rPr>
          <w:rFonts w:ascii="Times New Roman" w:hAnsi="Times New Roman" w:cs="Times New Roman"/>
          <w:b/>
          <w:b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0c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ca3da0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ca3da0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semiHidden/>
    <w:unhideWhenUsed/>
    <w:rsid w:val="00ca3da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semiHidden/>
    <w:unhideWhenUsed/>
    <w:rsid w:val="00ca3da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f751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49CE0-6B30-491B-AD83-D85D6890F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Application>LibreOffice/7.4.3.2$Windows_X86_64 LibreOffice_project/1048a8393ae2eeec98dff31b5c133c5f1d08b890</Application>
  <AppVersion>15.0000</AppVersion>
  <Pages>2</Pages>
  <Words>314</Words>
  <Characters>2326</Characters>
  <CharactersWithSpaces>3272</CharactersWithSpaces>
  <Paragraphs>67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2016-03-17T10:20:00Z</dcterms:created>
  <dc:creator>Наталья</dc:creator>
  <dc:description/>
  <dc:language>ru-RU</dc:language>
  <cp:lastModifiedBy/>
  <cp:lastPrinted>2017-03-16T05:20:00Z</cp:lastPrinted>
  <dcterms:modified xsi:type="dcterms:W3CDTF">2023-03-10T12:06:29Z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