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9" w:rsidRDefault="001F1BC9" w:rsidP="00E8339B">
      <w:pPr>
        <w:suppressAutoHyphens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413C4D" w:rsidRPr="00E8339B" w:rsidRDefault="003C0DB5" w:rsidP="00583565">
      <w:pPr>
        <w:suppressAutoHyphens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Российская Федерация Псковская область</w:t>
      </w:r>
    </w:p>
    <w:p w:rsidR="00413C4D" w:rsidRPr="00E8339B" w:rsidRDefault="003C0DB5" w:rsidP="00583565">
      <w:pPr>
        <w:suppressAutoHyphens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Администрация Палкинского района</w:t>
      </w:r>
    </w:p>
    <w:p w:rsidR="00413C4D" w:rsidRPr="00E8339B" w:rsidRDefault="00413C4D" w:rsidP="00583565">
      <w:pPr>
        <w:suppressAutoHyphens/>
        <w:ind w:firstLine="284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413C4D" w:rsidRPr="00E8339B" w:rsidRDefault="003C0DB5" w:rsidP="00583565">
      <w:pPr>
        <w:suppressAutoHyphens/>
        <w:ind w:firstLine="284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E8339B" w:rsidRDefault="00E8339B" w:rsidP="00583565">
      <w:pPr>
        <w:suppressAutoHyphens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339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8339B" w:rsidRPr="00E8339B">
        <w:rPr>
          <w:rFonts w:ascii="Times New Roman" w:hAnsi="Times New Roman" w:cs="Times New Roman"/>
          <w:bCs/>
          <w:sz w:val="24"/>
          <w:szCs w:val="24"/>
          <w:u w:val="single"/>
        </w:rPr>
        <w:t>01.</w:t>
      </w:r>
      <w:r w:rsidRPr="00E8339B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E8339B" w:rsidRPr="00E8339B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E8339B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E65231" w:rsidRPr="00E8339B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E8339B" w:rsidRPr="00E8339B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r w:rsidR="00E8339B">
        <w:rPr>
          <w:rFonts w:ascii="Times New Roman" w:hAnsi="Times New Roman" w:cs="Times New Roman"/>
          <w:bCs/>
          <w:sz w:val="24"/>
          <w:szCs w:val="24"/>
        </w:rPr>
        <w:t>.</w:t>
      </w:r>
      <w:r w:rsidRPr="00E8339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8339B" w:rsidRPr="00E8339B">
        <w:rPr>
          <w:rFonts w:ascii="Times New Roman" w:hAnsi="Times New Roman" w:cs="Times New Roman"/>
          <w:bCs/>
          <w:sz w:val="24"/>
          <w:szCs w:val="24"/>
          <w:u w:val="single"/>
        </w:rPr>
        <w:t>331</w:t>
      </w: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39B">
        <w:rPr>
          <w:rFonts w:ascii="Times New Roman" w:hAnsi="Times New Roman" w:cs="Times New Roman"/>
          <w:sz w:val="24"/>
          <w:szCs w:val="24"/>
        </w:rPr>
        <w:t>п.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hAnsi="Times New Roman" w:cs="Times New Roman"/>
          <w:sz w:val="24"/>
          <w:szCs w:val="24"/>
        </w:rPr>
        <w:t>Палкино</w:t>
      </w: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339B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E8339B" w:rsidRDefault="001F1BC9" w:rsidP="00583565">
      <w:pPr>
        <w:suppressAutoHyphens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9B">
        <w:rPr>
          <w:rFonts w:ascii="Times New Roman" w:hAnsi="Times New Roman" w:cs="Times New Roman"/>
          <w:sz w:val="24"/>
          <w:szCs w:val="24"/>
        </w:rPr>
        <w:t>«</w:t>
      </w: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обеспечение деятельности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proofErr w:type="gramStart"/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proofErr w:type="gramEnd"/>
    </w:p>
    <w:p w:rsid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муниципальными финансами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муниципальным долгом</w:t>
      </w:r>
      <w:r w:rsidRPr="00E83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8339B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_DdeLink__20653_1604209884"/>
      <w:bookmarkEnd w:id="0"/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hAnsi="Times New Roman" w:cs="Times New Roman"/>
          <w:sz w:val="24"/>
          <w:szCs w:val="24"/>
        </w:rPr>
        <w:t>образования «Палкинский район» на 2021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hAnsi="Times New Roman" w:cs="Times New Roman"/>
          <w:sz w:val="24"/>
          <w:szCs w:val="24"/>
        </w:rPr>
        <w:t>-</w:t>
      </w:r>
      <w:r w:rsidR="00E8339B">
        <w:rPr>
          <w:rFonts w:ascii="Times New Roman" w:hAnsi="Times New Roman" w:cs="Times New Roman"/>
          <w:sz w:val="24"/>
          <w:szCs w:val="24"/>
        </w:rPr>
        <w:t xml:space="preserve"> </w:t>
      </w:r>
      <w:r w:rsidRPr="00E8339B">
        <w:rPr>
          <w:rFonts w:ascii="Times New Roman" w:hAnsi="Times New Roman" w:cs="Times New Roman"/>
          <w:sz w:val="24"/>
          <w:szCs w:val="24"/>
        </w:rPr>
        <w:t>2025 годы»</w:t>
      </w:r>
    </w:p>
    <w:p w:rsidR="001F1BC9" w:rsidRPr="00E8339B" w:rsidRDefault="001F1BC9" w:rsidP="00583565">
      <w:pPr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1BC9" w:rsidRPr="00E8339B" w:rsidRDefault="00E8339B" w:rsidP="00583565">
      <w:pPr>
        <w:suppressAutoHyphens/>
        <w:ind w:left="-284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BC9" w:rsidRPr="00E83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="001F1BC9" w:rsidRPr="00E8339B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F1BC9" w:rsidRPr="00E8339B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F1BC9" w:rsidRPr="00E8339B">
        <w:rPr>
          <w:rFonts w:ascii="Times New Roman" w:hAnsi="Times New Roman" w:cs="Times New Roman"/>
          <w:sz w:val="24"/>
          <w:szCs w:val="24"/>
        </w:rPr>
        <w:t xml:space="preserve"> N 131-ФЗ «Об общих принципах организации местного самоуправления в Российской Федерации», </w:t>
      </w:r>
      <w:hyperlink r:id="rId10" w:history="1">
        <w:r w:rsidR="001F1BC9" w:rsidRPr="00E8339B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="001F1BC9" w:rsidRPr="00E833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района </w:t>
      </w:r>
      <w:r w:rsidR="001F1BC9" w:rsidRPr="00E8339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4D58" w:rsidRPr="00E8339B" w:rsidRDefault="00E8339B" w:rsidP="00583565">
      <w:pPr>
        <w:pStyle w:val="af6"/>
        <w:suppressAutoHyphens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</w:t>
      </w:r>
      <w:r w:rsidR="001F1BC9" w:rsidRPr="00E8339B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hyperlink r:id="rId11" w:anchor="Par43" w:history="1">
        <w:r w:rsidR="001F1BC9" w:rsidRPr="00E8339B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="001F1BC9" w:rsidRPr="00E8339B">
        <w:rPr>
          <w:rFonts w:ascii="Times New Roman" w:hAnsi="Times New Roman" w:cs="Times New Roman"/>
          <w:sz w:val="24"/>
          <w:szCs w:val="24"/>
        </w:rPr>
        <w:t xml:space="preserve"> «У</w:t>
      </w:r>
      <w:r w:rsidR="001F1BC9" w:rsidRPr="00E83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1F1BC9" w:rsidRPr="00E833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«Палкинский район» на 2021-2025 годы»», утвержденную постановлением администрации района от </w:t>
      </w:r>
      <w:r w:rsidR="001F1BC9" w:rsidRPr="00E8339B">
        <w:rPr>
          <w:rFonts w:ascii="Times New Roman" w:hAnsi="Times New Roman" w:cs="Times New Roman"/>
          <w:bCs/>
          <w:sz w:val="24"/>
          <w:szCs w:val="24"/>
        </w:rPr>
        <w:t xml:space="preserve">27.12.2018г № 604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(с изменениями от 10.02.2021г.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53, от 26.02.2021г.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78, от 11.05.2021г.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194, от 20.07.2021г.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348, от 28.09.2021г.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451, </w:t>
      </w:r>
      <w:r w:rsidR="0058356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от 09.12.2021</w:t>
      </w:r>
      <w:proofErr w:type="gramEnd"/>
      <w:r w:rsidR="0047027B" w:rsidRPr="00E8339B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623, от 11.01.2022г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4, от 01.02.2022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60, от 10.03.2022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116, </w:t>
      </w:r>
      <w:r w:rsidR="0058356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от 16.05.2022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>227, от 20.06.2022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27B" w:rsidRPr="00E8339B">
        <w:rPr>
          <w:rFonts w:ascii="Times New Roman" w:hAnsi="Times New Roman" w:cs="Times New Roman"/>
          <w:bCs/>
          <w:sz w:val="24"/>
          <w:szCs w:val="24"/>
        </w:rPr>
        <w:t xml:space="preserve">298) </w:t>
      </w:r>
      <w:r w:rsidRPr="00E8339B">
        <w:rPr>
          <w:rFonts w:ascii="Times New Roman" w:hAnsi="Times New Roman" w:cs="Times New Roman"/>
          <w:sz w:val="24"/>
          <w:szCs w:val="24"/>
        </w:rPr>
        <w:t>следующие</w:t>
      </w:r>
      <w:r w:rsidR="00B74D58" w:rsidRPr="00E8339B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16833" w:rsidRPr="00E8339B" w:rsidRDefault="00B74D58" w:rsidP="00583565">
      <w:pPr>
        <w:tabs>
          <w:tab w:val="left" w:pos="619"/>
        </w:tabs>
        <w:suppressAutoHyphens/>
        <w:ind w:left="-284" w:firstLine="4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</w:t>
      </w:r>
      <w:r w:rsidR="004E16B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7027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аспорт</w:t>
      </w:r>
      <w:r w:rsidR="0047027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муниципальной программы </w:t>
      </w:r>
      <w:r w:rsidR="003C0DB5" w:rsidRPr="00E8339B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="003C0DB5"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Управление и обеспечение деятельности администрации муниципального образования, создание условий для </w:t>
      </w:r>
      <w:proofErr w:type="gramStart"/>
      <w:r w:rsidR="003C0DB5"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эффективного</w:t>
      </w:r>
      <w:proofErr w:type="gramEnd"/>
      <w:r w:rsidR="003C0DB5"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управления муниципальными финансами и муниципальным долгом</w:t>
      </w:r>
      <w:r w:rsidR="003C0DB5" w:rsidRPr="00E8339B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муниципального образования «Палкинский район» на 2021-2025 годы</w:t>
      </w:r>
      <w:r w:rsidR="003C0DB5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47027B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разделе «Ожидаемые результаты реализации муниципальной программы»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p w:rsidR="0047027B" w:rsidRPr="00E8339B" w:rsidRDefault="0047027B" w:rsidP="00583565">
      <w:pPr>
        <w:tabs>
          <w:tab w:val="left" w:pos="619"/>
        </w:tabs>
        <w:suppressAutoHyphens/>
        <w:ind w:left="-284" w:firstLine="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п.</w:t>
      </w:r>
      <w:r w:rsidRPr="00E8339B">
        <w:rPr>
          <w:rFonts w:ascii="Times New Roman" w:hAnsi="Times New Roman" w:cs="Times New Roman"/>
          <w:color w:val="000000"/>
          <w:sz w:val="24"/>
          <w:szCs w:val="24"/>
        </w:rPr>
        <w:t xml:space="preserve"> 13. 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Численность трудоустроенных на общественные работы граждан, ищущих работу и обратившихся в органы службы занятости, а также безработных граждан, цифры   «5»чел. заменить цифрами «23» чел.;</w:t>
      </w:r>
    </w:p>
    <w:p w:rsidR="00753F53" w:rsidRPr="00E8339B" w:rsidRDefault="00616833" w:rsidP="00583565">
      <w:pPr>
        <w:suppressAutoHyphens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п. </w:t>
      </w:r>
      <w:r w:rsidR="0047027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14. Временное трудоустройство несовершеннолетних граждан в возрасте от 14 до 18 лет в свободное от учебы время, цифры «4»чел. заменить цифрами «25» чел.;</w:t>
      </w:r>
      <w:r w:rsidR="0047027B" w:rsidRPr="00E8339B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Par310"/>
      <w:bookmarkStart w:id="2" w:name="Par350"/>
      <w:bookmarkStart w:id="3" w:name="Par356"/>
      <w:bookmarkEnd w:id="1"/>
      <w:bookmarkEnd w:id="2"/>
      <w:bookmarkEnd w:id="3"/>
      <w:r w:rsidR="00753F53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1.2. В паспорте подпрограммы «</w:t>
      </w:r>
      <w:r w:rsidR="00753F53" w:rsidRPr="00E8339B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общего порядка и противодействие коррупции»</w:t>
      </w:r>
      <w:r w:rsidR="00753F53" w:rsidRPr="00E8339B">
        <w:rPr>
          <w:rFonts w:ascii="Times New Roman" w:eastAsia="Times New Roman" w:hAnsi="Times New Roman" w:cs="Times New Roman"/>
          <w:sz w:val="24"/>
          <w:szCs w:val="24"/>
        </w:rPr>
        <w:t xml:space="preserve"> в разделе «</w:t>
      </w:r>
      <w:r w:rsidR="00753F53" w:rsidRPr="00E8339B">
        <w:rPr>
          <w:rFonts w:ascii="Times New Roman" w:eastAsia="Times New Roman" w:hAnsi="Times New Roman" w:cs="Times New Roman"/>
          <w:i/>
          <w:sz w:val="24"/>
          <w:szCs w:val="24"/>
        </w:rPr>
        <w:t>Основные мероприятия, входящие в состав подпрограммы»:</w:t>
      </w:r>
    </w:p>
    <w:p w:rsidR="00753F53" w:rsidRPr="00E8339B" w:rsidRDefault="00753F53" w:rsidP="00583565">
      <w:pPr>
        <w:suppressAutoHyphens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sz w:val="24"/>
          <w:szCs w:val="24"/>
        </w:rPr>
        <w:t xml:space="preserve">«п. </w:t>
      </w:r>
      <w:r w:rsidRPr="00E8339B">
        <w:rPr>
          <w:rFonts w:ascii="Times New Roman" w:eastAsia="Calibri" w:hAnsi="Times New Roman" w:cs="Times New Roman"/>
          <w:sz w:val="24"/>
          <w:szCs w:val="24"/>
        </w:rPr>
        <w:t>25. Организация проведения социологических исследований реализуемых антикоррупционных мер с различными группами населения. Результаты исследований доводить до сведения общественности через средства массовой информации» исключить;</w:t>
      </w:r>
    </w:p>
    <w:p w:rsidR="00753F53" w:rsidRPr="00E8339B" w:rsidRDefault="00753F53" w:rsidP="00583565">
      <w:pPr>
        <w:ind w:left="-284" w:firstLine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39B">
        <w:rPr>
          <w:rFonts w:ascii="Times New Roman" w:eastAsia="Calibri" w:hAnsi="Times New Roman" w:cs="Times New Roman"/>
          <w:sz w:val="24"/>
          <w:szCs w:val="24"/>
        </w:rPr>
        <w:t>«п. 32. Проведение "круглого стола" по вопросам антикоррупционной деятельности с участием представителей правоохранительных органов, среднего и малого бизнеса, органов местного самоуправления» исключить.</w:t>
      </w:r>
    </w:p>
    <w:p w:rsidR="00616833" w:rsidRPr="00E8339B" w:rsidRDefault="003D0453" w:rsidP="00583565">
      <w:pPr>
        <w:tabs>
          <w:tab w:val="left" w:pos="619"/>
        </w:tabs>
        <w:suppressAutoHyphens/>
        <w:ind w:left="-284" w:firstLine="4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4E16B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753F53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53F53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аспорт</w:t>
      </w:r>
      <w:r w:rsidR="00753F53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 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подпрограммы</w:t>
      </w:r>
      <w:r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3C0DB5"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«</w:t>
      </w:r>
      <w:r w:rsidR="003C0DB5" w:rsidRPr="00E8339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Социальная поддержка граждан и реализация демографической политики в муниципальном образовании</w:t>
      </w:r>
      <w:r w:rsidR="0047027B"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47027B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в разделе «</w:t>
      </w:r>
      <w:r w:rsidR="0047027B" w:rsidRPr="00E8339B">
        <w:rPr>
          <w:rFonts w:ascii="Times New Roman" w:eastAsia="Calibri" w:hAnsi="Times New Roman" w:cs="Times New Roman"/>
          <w:i/>
          <w:color w:val="auto"/>
          <w:sz w:val="24"/>
          <w:szCs w:val="24"/>
        </w:rPr>
        <w:t>Ожидаемые результаты реал</w:t>
      </w:r>
      <w:r w:rsidR="00616833" w:rsidRPr="00E8339B">
        <w:rPr>
          <w:rFonts w:ascii="Times New Roman" w:eastAsia="Calibri" w:hAnsi="Times New Roman" w:cs="Times New Roman"/>
          <w:i/>
          <w:color w:val="auto"/>
          <w:sz w:val="24"/>
          <w:szCs w:val="24"/>
        </w:rPr>
        <w:t>изации муниципальной программы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»:</w:t>
      </w:r>
    </w:p>
    <w:p w:rsidR="0047027B" w:rsidRPr="00E8339B" w:rsidRDefault="0047027B" w:rsidP="00583565">
      <w:pPr>
        <w:tabs>
          <w:tab w:val="left" w:pos="619"/>
        </w:tabs>
        <w:suppressAutoHyphens/>
        <w:ind w:left="-284" w:firstLine="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п.</w:t>
      </w:r>
      <w:r w:rsidRPr="00E8339B">
        <w:rPr>
          <w:rFonts w:ascii="Times New Roman" w:hAnsi="Times New Roman" w:cs="Times New Roman"/>
          <w:color w:val="000000"/>
          <w:sz w:val="24"/>
          <w:szCs w:val="24"/>
        </w:rPr>
        <w:t xml:space="preserve"> 13. 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Численность трудоустроенных на общественные работы граждан, ищущих работу и обратившихся в органы службы занятости, а также безработных граждан, цифры   «5»чел. заменить цифрами «23» чел.;</w:t>
      </w:r>
    </w:p>
    <w:p w:rsidR="004E16BB" w:rsidRPr="00E8339B" w:rsidRDefault="00616833" w:rsidP="00583565">
      <w:pPr>
        <w:suppressAutoHyphens/>
        <w:ind w:left="-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п. </w:t>
      </w:r>
      <w:r w:rsidR="0047027B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14. Временное трудоустройство несовершеннолетних граждан в возрасте от 14 до 18 лет в свободное от учебы время, цифры «4»чел. заменить цифрами «25» чел;</w:t>
      </w:r>
    </w:p>
    <w:p w:rsidR="008D5752" w:rsidRPr="00E8339B" w:rsidRDefault="008D5752" w:rsidP="00583565">
      <w:pPr>
        <w:suppressAutoHyphens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1.</w:t>
      </w:r>
      <w:r w:rsidR="00E8339B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5D1219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В таблице «</w:t>
      </w:r>
      <w:r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Сведения о целевых показателях и их значениях муниципальной программы Управление и обеспечение деятельности администрации муниципального </w:t>
      </w:r>
      <w:r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образования, создание условий </w:t>
      </w:r>
      <w:proofErr w:type="gramStart"/>
      <w:r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для</w:t>
      </w:r>
      <w:proofErr w:type="gramEnd"/>
      <w:r w:rsidRPr="00E833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эффективного управления муниципальными финансами и муниципальным долгом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 w:rsidR="00616833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изложить в новой редакции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8D5752" w:rsidRPr="00E8339B" w:rsidRDefault="00E8339B" w:rsidP="00583565">
      <w:pPr>
        <w:suppressAutoHyphens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8D5752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4.3</w:t>
      </w:r>
      <w:r w:rsidR="0058356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8D5752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Численность трудоустроенных на общественные работы граждан, ищущих работу и обратившихся в органы службы занятости, а также безработных граждан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в 2021 году –5чел;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2022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23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2023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10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2024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10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2025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10</w:t>
      </w:r>
      <w:r w:rsidR="00E8339B">
        <w:rPr>
          <w:rFonts w:ascii="Times New Roman" w:eastAsia="Calibri" w:hAnsi="Times New Roman" w:cs="Times New Roman"/>
          <w:color w:val="auto"/>
          <w:sz w:val="24"/>
          <w:szCs w:val="24"/>
        </w:rPr>
        <w:t>чел.</w:t>
      </w:r>
    </w:p>
    <w:p w:rsidR="008D5752" w:rsidRPr="00E8339B" w:rsidRDefault="008D5752" w:rsidP="00583565">
      <w:pPr>
        <w:widowControl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4.4</w:t>
      </w:r>
      <w:r w:rsidR="00583565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Временное трудоустройство несовершеннолетних граждан в возрасте от 14 до 18 лет в свободное от учебы время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в 2021 году –4чел;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в 2022 году –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2023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2024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чел;</w:t>
      </w:r>
    </w:p>
    <w:p w:rsidR="008D5752" w:rsidRPr="00E8339B" w:rsidRDefault="008D5752" w:rsidP="00583565">
      <w:pPr>
        <w:suppressAutoHyphens/>
        <w:ind w:left="-284"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2025 году – </w:t>
      </w:r>
      <w:r w:rsidR="00616833"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  <w:r w:rsidRPr="00E8339B">
        <w:rPr>
          <w:rFonts w:ascii="Times New Roman" w:eastAsia="Calibri" w:hAnsi="Times New Roman" w:cs="Times New Roman"/>
          <w:color w:val="auto"/>
          <w:sz w:val="24"/>
          <w:szCs w:val="24"/>
        </w:rPr>
        <w:t>чел</w:t>
      </w:r>
      <w:proofErr w:type="gramStart"/>
      <w:r w:rsidR="005E1BA4">
        <w:rPr>
          <w:rFonts w:ascii="Times New Roman" w:eastAsia="Calibri" w:hAnsi="Times New Roman" w:cs="Times New Roman"/>
          <w:color w:val="auto"/>
          <w:sz w:val="24"/>
          <w:szCs w:val="24"/>
        </w:rPr>
        <w:t>;»</w:t>
      </w:r>
      <w:proofErr w:type="gramEnd"/>
      <w:r w:rsidR="005E1BA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267186" w:rsidRPr="00E8339B" w:rsidRDefault="00B864C1" w:rsidP="00583565">
      <w:pPr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1.5. Таблицу «</w:t>
      </w:r>
      <w:r w:rsidRPr="00E8339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Перечень основных мероприятий муниципальной программы» </w:t>
      </w:r>
      <w:r w:rsidR="00267186" w:rsidRPr="00E833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B864C1" w:rsidRPr="00E8339B" w:rsidRDefault="005E1BA4" w:rsidP="00583565">
      <w:pPr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ab/>
      </w:r>
      <w:r w:rsidR="00B864C1" w:rsidRPr="00E833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2. </w:t>
      </w:r>
      <w:proofErr w:type="gramStart"/>
      <w:r w:rsidR="00B864C1" w:rsidRPr="00E833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Контроль за</w:t>
      </w:r>
      <w:proofErr w:type="gramEnd"/>
      <w:r w:rsidR="00B864C1" w:rsidRPr="00E833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Потапову О.С.</w:t>
      </w:r>
    </w:p>
    <w:p w:rsidR="00EB531D" w:rsidRPr="005E1BA4" w:rsidRDefault="005E1BA4" w:rsidP="00583565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ab/>
      </w:r>
      <w:r w:rsidR="00B864C1" w:rsidRPr="00E833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3. </w:t>
      </w:r>
      <w:r w:rsidR="00B864C1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Опубликовать настоящее постановление в общественно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864C1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864C1"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12" w:history="1"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http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://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pravo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pskov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и</w:t>
        </w:r>
      </w:hyperlink>
      <w:r w:rsidR="00B864C1"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</w:t>
      </w:r>
      <w:r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естить на официальном сайте мун</w:t>
      </w:r>
      <w:r w:rsidR="00B864C1"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</w:t>
      </w:r>
      <w:r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864C1"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пального образования «Палкинский район» </w:t>
      </w:r>
      <w:hyperlink r:id="rId13" w:history="1"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http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://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palkino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reg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60.</w:t>
        </w:r>
        <w:r w:rsidR="00B864C1" w:rsidRPr="005E1BA4">
          <w:rPr>
            <w:rStyle w:val="af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  <w:r w:rsidR="00B864C1" w:rsidRPr="005E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информационно-телекоммуникационной сети «Интернет».</w:t>
      </w:r>
    </w:p>
    <w:p w:rsidR="00A50EDF" w:rsidRPr="00E8339B" w:rsidRDefault="00A50EDF" w:rsidP="00583565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583565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50EDF" w:rsidRDefault="00A50EDF" w:rsidP="00583565">
      <w:pPr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И.п.и.о</w:t>
      </w:r>
      <w:proofErr w:type="spellEnd"/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5E1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лавы Палкинского района                                   </w:t>
      </w:r>
      <w:r w:rsidR="005E1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</w:t>
      </w:r>
      <w:r w:rsidRPr="00E833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О.С. Потапова</w:t>
      </w: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83565" w:rsidP="005835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Верно: Костылева</w:t>
      </w: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GoBack"/>
      <w:bookmarkEnd w:id="4"/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E1BA4" w:rsidRDefault="005E1BA4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97F" w:rsidRPr="00B864C1" w:rsidRDefault="0021797F" w:rsidP="00E833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21797F" w:rsidRPr="00B864C1" w:rsidSect="0021797F">
          <w:headerReference w:type="default" r:id="rId14"/>
          <w:pgSz w:w="11906" w:h="16838"/>
          <w:pgMar w:top="530" w:right="850" w:bottom="1134" w:left="1701" w:header="0" w:footer="0" w:gutter="0"/>
          <w:cols w:space="720"/>
          <w:formProt w:val="0"/>
          <w:titlePg/>
          <w:docGrid w:linePitch="360"/>
        </w:sectPr>
      </w:pPr>
    </w:p>
    <w:tbl>
      <w:tblPr>
        <w:tblStyle w:val="21"/>
        <w:tblW w:w="14884" w:type="dxa"/>
        <w:jc w:val="center"/>
        <w:tblInd w:w="98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2"/>
        <w:gridCol w:w="4567"/>
        <w:gridCol w:w="3544"/>
        <w:gridCol w:w="4135"/>
        <w:gridCol w:w="2086"/>
      </w:tblGrid>
      <w:tr w:rsidR="00B864C1" w:rsidRPr="0021797F" w:rsidTr="0021797F">
        <w:trPr>
          <w:trHeight w:val="560"/>
          <w:jc w:val="center"/>
        </w:trPr>
        <w:tc>
          <w:tcPr>
            <w:tcW w:w="14884" w:type="dxa"/>
            <w:gridSpan w:val="5"/>
            <w:shd w:val="clear" w:color="auto" w:fill="auto"/>
          </w:tcPr>
          <w:p w:rsidR="0021797F" w:rsidRPr="0021797F" w:rsidRDefault="0021797F" w:rsidP="0021797F">
            <w:pPr>
              <w:pageBreakBefore/>
              <w:suppressAutoHyphens/>
              <w:ind w:left="170"/>
              <w:jc w:val="right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bookmarkStart w:id="5" w:name="Par454"/>
            <w:bookmarkEnd w:id="5"/>
            <w:r w:rsidRPr="0021797F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lastRenderedPageBreak/>
              <w:t>Приложение</w:t>
            </w:r>
          </w:p>
          <w:p w:rsidR="0021797F" w:rsidRPr="0021797F" w:rsidRDefault="0021797F" w:rsidP="0021797F">
            <w:pPr>
              <w:pageBreakBefore/>
              <w:suppressAutoHyphens/>
              <w:ind w:left="170"/>
              <w:jc w:val="right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к постановлению администрации</w:t>
            </w:r>
          </w:p>
          <w:p w:rsidR="0021797F" w:rsidRPr="0021797F" w:rsidRDefault="0021797F" w:rsidP="0021797F">
            <w:pPr>
              <w:pageBreakBefore/>
              <w:suppressAutoHyphens/>
              <w:ind w:left="170"/>
              <w:jc w:val="right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Палкинского района от 01.07.2022г. № 331</w:t>
            </w:r>
          </w:p>
          <w:p w:rsidR="0021797F" w:rsidRPr="0021797F" w:rsidRDefault="0021797F" w:rsidP="005E1BA4">
            <w:pPr>
              <w:pageBreakBefore/>
              <w:suppressAutoHyphens/>
              <w:ind w:left="17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B864C1" w:rsidRPr="0021797F" w:rsidRDefault="00B864C1" w:rsidP="005E1BA4">
            <w:pPr>
              <w:pageBreakBefore/>
              <w:suppressAutoHyphens/>
              <w:ind w:left="17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ПЕРЕЧЕНЬ ОСНОВНЫХ МЕРОПРИЯТИЙ МУНИЦИПАЛЬНОЙ ПРОГРАММЫ</w:t>
            </w:r>
          </w:p>
        </w:tc>
      </w:tr>
      <w:tr w:rsidR="00B864C1" w:rsidRPr="0021797F" w:rsidTr="00583565">
        <w:trPr>
          <w:trHeight w:val="1448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№</w:t>
            </w:r>
          </w:p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Целевые показатели основного мероприятия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Значения целевых показателей основного мероприятия</w:t>
            </w:r>
          </w:p>
        </w:tc>
      </w:tr>
      <w:tr w:rsidR="00B864C1" w:rsidRPr="0021797F" w:rsidTr="00583565">
        <w:trPr>
          <w:trHeight w:val="243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  <w:tr w:rsidR="00B864C1" w:rsidRPr="0021797F" w:rsidTr="00583565">
        <w:trPr>
          <w:trHeight w:val="273"/>
          <w:jc w:val="center"/>
        </w:trPr>
        <w:tc>
          <w:tcPr>
            <w:tcW w:w="552" w:type="dxa"/>
            <w:shd w:val="clear" w:color="auto" w:fill="auto"/>
          </w:tcPr>
          <w:p w:rsidR="00B864C1" w:rsidRPr="00583565" w:rsidRDefault="00B864C1" w:rsidP="00B864C1">
            <w:pPr>
              <w:suppressAutoHyphens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14332" w:type="dxa"/>
            <w:gridSpan w:val="4"/>
            <w:shd w:val="clear" w:color="auto" w:fill="auto"/>
          </w:tcPr>
          <w:p w:rsidR="00B864C1" w:rsidRPr="00583565" w:rsidRDefault="00B864C1" w:rsidP="0058356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Подпрограмма Обеспечение функционирования администрации муниципального образования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Функционирование администрации муниципального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1.Численность муниципальных служащих на 1000 жителей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–3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3 чел. 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2022 - 93%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2023 - 95%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2024 - 97%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2022 - 33%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2023 - 35% 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2024 - 37%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40%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Контрольно-счётное управление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1.Численность муниципальных служащих на 1000 жителей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0,01чел.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– 0,01чел.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2023– 0,01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0,01 чел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0,01 чел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2022 - 93%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2023 - 95%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2024 - 97%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2025- 100%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образования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1.Численность муниципальных служащих на 1000 жителей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1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– 1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1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 чел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 чел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21797F" w:rsidRDefault="0021797F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21797F" w:rsidRDefault="0021797F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21797F" w:rsidRPr="0021797F" w:rsidRDefault="0021797F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21797F" w:rsidRDefault="0021797F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2.Ежегодная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086" w:type="dxa"/>
            <w:shd w:val="clear" w:color="auto" w:fill="auto"/>
          </w:tcPr>
          <w:p w:rsidR="0021797F" w:rsidRDefault="0021797F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2022 - 93%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2023 - 95%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2024 - 97%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2022 - 33%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2023 - 35% 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2024 - 37%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40%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1.Численность муниципальных служащих на 1000 жителей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–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2 чел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2 чел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2022 - 93%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2023 - 95%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2024 - 97%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2022 - 33%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2023 - 35% 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2024 - 37%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40%</w:t>
            </w:r>
          </w:p>
        </w:tc>
      </w:tr>
      <w:tr w:rsidR="00B864C1" w:rsidRPr="0021797F" w:rsidTr="00583565">
        <w:trPr>
          <w:trHeight w:val="273"/>
          <w:jc w:val="center"/>
        </w:trPr>
        <w:tc>
          <w:tcPr>
            <w:tcW w:w="552" w:type="dxa"/>
            <w:shd w:val="clear" w:color="auto" w:fill="auto"/>
          </w:tcPr>
          <w:p w:rsidR="00B864C1" w:rsidRPr="00583565" w:rsidRDefault="00B864C1" w:rsidP="00B864C1">
            <w:pPr>
              <w:suppressAutoHyphens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14332" w:type="dxa"/>
            <w:gridSpan w:val="4"/>
            <w:shd w:val="clear" w:color="auto" w:fill="auto"/>
          </w:tcPr>
          <w:p w:rsidR="00B864C1" w:rsidRPr="00583565" w:rsidRDefault="00B864C1" w:rsidP="0058356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Подпрограмма Обеспечение общего порядка и противодействие коррупции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Подготовка и принятие правовых актов, направленных на противодействие коррупции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</w:t>
            </w:r>
            <w:r w:rsidR="0021797F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Проведение экспертизы муниципальных правовых актов и их проектов на предмет исключения содержания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 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Обобщение и анализ отчетов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местного самоуправления района,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 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Проведение мониторинга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правоприменения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муниципальных правовых актов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 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Размещение на официальном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Палкинского района проектов нормативных правовых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 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2.6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Разработка и внедрение административных регламентов исполнения структурными подразделениями, отраслевыми органами, подведомственными им учреждениями муниципальных функций и предоставления муниципальных услуг, приведение в соответствие законодательству действующих административных регламентов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Снижение количества муниципальных актов, в которых выявлены коррупциогенные факторы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2021 - 3шт.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коррупциогенных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факторов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2023 - 2шт.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2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2023 - 40шт.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40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2.7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Изучение практики реализации мероприятий по противодействию коррупции в структурных подразделениях, отраслевых (функциональных) органах администрации муниципального образования, подведомственных учреждениях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2.8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Проведение оценки коррупционных рисков, возникающих при реализации муниципальными служащими своих функций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2.9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Обеспечение объективного и полного рассмотрения обращений граждан, поступивших в ходе проведения личных приемов, почтой, в электронном виде, а также на "телефоны доверия"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2.10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Осуществление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контроля за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предоставлением соответствующих сведений гражданами, претендующими на замещение вакантных должностей муниципальной службы, муниципальными служащими, лицами, замещающими муниципальные должности, лицами, претендующими на замещение должностей руководителей муниципальных учреждений, руководителями муниципальных учреждений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Проведение проверок достоверности и полноты соответствующих сведений, предоставляемых гражданами, претендующими на замещение вакантных должностей муниципальной службы, муниципальными служащими, лицами, претендующими на замещение должностей руководителей муниципальных учреждений, руководителями муниципальных учреждений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Обеспечение информирования муниципальных служащих по основным положениям антикоррупционного законодательства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4. Количество нарушений, установленных комиссией по соблюдению требований к служебному поведению и урегулированию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2.13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Размещение сведений о доходах, расходах, об имуществе и обязательствах имущественного характера муниципальных служащих на официальном сайте Администрации Палкинского района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2.14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Подготовка памяток по вопросам антикоррупционного поведения муниципальных служащих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2.15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Организация проведения бесед с должностными лицами о недопущении поведения, воспринимающегося как согласие принять взятку или как просьбу о даче взятки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2.16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Организация методической помощи органам местного самоуправления  по вопросам реализации кадровой политики на муниципальной службе, в том числе по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2.17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Организация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4. Количество нарушений, установленных комиссией по соблюдению требований к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2.18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2.19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Проведение мониторинга коррупционных правонарушений, совершенных муниципальными служащими, в том числе в целях установления степени (уровня) коррумпированности органов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2.20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Ведение системы учета банка данных коррупционных правонарушений, в том числе коррупционных преступлений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Проведение мероприятий по выявлению случаев возникновения конфликтов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интересов, в том числе путем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проведения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:а</w:t>
            </w:r>
            <w:proofErr w:type="spellEnd"/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учета и регистрации всей поступающей в орган информации о фактах возможного конфликта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интересов;б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анализа поступающей в орган информации не только по существу поставленных вопросов, но и в части возможного обнаружения фактов конфликта интересов, одной стороной которого является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муниципаьный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служащий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органа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;в</w:t>
            </w:r>
            <w:proofErr w:type="spellEnd"/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первичного анализа информации, указанной в справках о доходах, расходах, об имуществе и обязательствах имущественного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характера;г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разъяснительной работы, </w:t>
            </w:r>
            <w:proofErr w:type="spell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бесед;д</w:t>
            </w:r>
            <w:proofErr w:type="spell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) другими способами с учетом поставленных задач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Проведение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касающихся получения подарков, и порядка сдачи подарка, в порядке, предусмотренном нормативными правовыми актами Российской Федерации, применение соответствующих мер юридической ответственности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2.23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поведению, требований по урегулированию конфликта интересов, вопросов о непредставлении  муниципальными служащими либо представлении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2.24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Проведение мониторинга качества предоставления муниципальных услуг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2. Количество проведенных антикоррупционных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Реализация мер по формированию и подготовке резерва управленческих кадров муниципального образования "Палкинский район"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Поощрение лиц, сообщивших о факте коррупционного правонарушения на территории Палкинского района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Количество проведенных антикоррупционных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3. Количество размещенных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сайте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2022 - 6шт.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2023 - 7шт.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7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4. Количество нарушений, установленных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2.2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самоуправления, о ходе реализации мероприятий программы, о фактах привлечения к ответственности муниципальных служащих муниципального образования за правонарушения, связанные с проявлением коррупции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2.2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Публикация в средствах массовой информации нормативно-правовых актов, тематических статей антикоррупционной направленности, статей с рекомендациями о действиях граждан в случае нарушения их законных интересов со стороны должностных лиц  и муниципальных служащих муниципального образования "Палкинский район" и иной информации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Организация и проведение просветительских мероприятий (классных часов) среди учащихся муниципальных образовательных учреждений по вопросам профилактики и борьбы с коррупцией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Обеспечение работы постоянно действующего "телефона доверия" в целях обращения граждан о проявлениях коррупции и мониторинга фактов коррупции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753F53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Информирование граждан о мерах по минимизации  проявлений "бытовой коррупции", в том числе в сфере предоставления коммунальных услуг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Управление делами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Пропаганда выгодности и успешности предпринимательской деятельности, осуществляющейся в рамках правового поля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Индекс восприятия коррупции населением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90%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—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Обеспечение проведения электронных аукционов по муниципальным заказам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Организация информирования всех заинтересованных лиц о правилах участия в конкурсных и иных процедурах размещения 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муниципального заказа с помощью официального сайта и консультаций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Оказание поддержки субъектам малого и среднего предпринимательства по вопросам преодоления административных и организационных барьеров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Осуществление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контроля за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соблюдением законодательства в сфере размещения заказов для муниципальных нужд и нужд бюджетных учреждений района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2.3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  <w:r w:rsidR="00753F5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Содержание единой дежурно-диспетчерской службы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753F53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  <w:r w:rsidR="00753F53"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567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«Ежегодные повышения квалификации муниципальных служащих, в должностные обязанности которых входит участие в противодействии коррупции»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  <w:r w:rsidR="00753F53"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567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«Обучение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специалистов, которые прошли обучение в сфере противодействия коррупции</w:t>
            </w:r>
          </w:p>
        </w:tc>
        <w:tc>
          <w:tcPr>
            <w:tcW w:w="2086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—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2022 - 2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3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3 чел.</w:t>
            </w:r>
          </w:p>
        </w:tc>
      </w:tr>
      <w:tr w:rsidR="00B864C1" w:rsidRPr="0021797F" w:rsidTr="00583565">
        <w:trPr>
          <w:trHeight w:val="239"/>
          <w:jc w:val="center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753F53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  <w:r w:rsidR="00753F53"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179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«Повышение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интересов»</w:t>
            </w:r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086" w:type="dxa"/>
            <w:tcBorders>
              <w:top w:val="nil"/>
            </w:tcBorders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2023 - 0шт.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2024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  <w:p w:rsidR="00B864C1" w:rsidRPr="0021797F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–0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864C1" w:rsidRPr="00583565" w:rsidTr="00583565">
        <w:trPr>
          <w:trHeight w:val="273"/>
          <w:jc w:val="center"/>
        </w:trPr>
        <w:tc>
          <w:tcPr>
            <w:tcW w:w="552" w:type="dxa"/>
            <w:shd w:val="clear" w:color="auto" w:fill="auto"/>
          </w:tcPr>
          <w:p w:rsidR="00B864C1" w:rsidRPr="00583565" w:rsidRDefault="00B864C1" w:rsidP="0058356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14332" w:type="dxa"/>
            <w:gridSpan w:val="4"/>
            <w:shd w:val="clear" w:color="auto" w:fill="auto"/>
          </w:tcPr>
          <w:p w:rsidR="00B864C1" w:rsidRPr="00583565" w:rsidRDefault="00B864C1" w:rsidP="0058356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Подпрограмма Совершенствование, развитие бюджетного процесса и управление муниципальным долгом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Совершенствование и развитие бюджетного процесса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Доля расходов  бюджета муниципального образования, формируемых в рамках муниципальных программ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2021 - 98%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2022 - 98%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2023 - 98%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98%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98%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Увеличение собственных доходов бюджета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2021 - 2%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2022 - 3%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7%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2025- 10%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3.Доля бюджетной отчетности, представленной в ГФУ Псковской области в установленные сроки, к общему объему бюджетной отчетности, представляемой в ГФУ Псковской области</w:t>
            </w:r>
            <w:proofErr w:type="gramEnd"/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108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Управление муниципальным долгом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Сохранение объемов расходов на погашение и обслуживание муниципального долга  к доходам местного бюджета без учета утвержденного объема безвозмездных поступлений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–9,4%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– 9,4%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–9,4%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9,4%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9,4%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Доля просроченных долговых обязательств местного бюджета к общему объему полученных кредитных ресурсов в соответствии с заключенными муниципальными контрактами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2025- 0%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 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0,3%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2022– 0,3%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0,3%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0,3%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0,3%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3.3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Усиление роли финансового контроля в управлении бюджетным процессом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3.4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Реализация переданных государственных полномочий по первичному воинскому учёту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территориях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1.Количество муниципальных образований получающих субвенцию на осуществление полномочий по первичному воинскому учёту на </w:t>
            </w:r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территориях</w:t>
            </w:r>
            <w:proofErr w:type="gramEnd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2021 - 5ед.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2022 - 5ед.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2023 - 5ед.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5 ед.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2025 – 5 </w:t>
            </w:r>
            <w:proofErr w:type="spellStart"/>
            <w:proofErr w:type="gramStart"/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  <w:proofErr w:type="gramEnd"/>
          </w:p>
        </w:tc>
      </w:tr>
      <w:tr w:rsidR="00B864C1" w:rsidRPr="0021797F" w:rsidTr="00583565">
        <w:trPr>
          <w:trHeight w:val="273"/>
          <w:jc w:val="center"/>
        </w:trPr>
        <w:tc>
          <w:tcPr>
            <w:tcW w:w="552" w:type="dxa"/>
            <w:shd w:val="clear" w:color="auto" w:fill="auto"/>
          </w:tcPr>
          <w:p w:rsidR="00B864C1" w:rsidRPr="00583565" w:rsidRDefault="00B864C1" w:rsidP="00B864C1">
            <w:pPr>
              <w:suppressAutoHyphens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14332" w:type="dxa"/>
            <w:gridSpan w:val="4"/>
            <w:shd w:val="clear" w:color="auto" w:fill="auto"/>
          </w:tcPr>
          <w:p w:rsidR="00B864C1" w:rsidRPr="00583565" w:rsidRDefault="00B864C1" w:rsidP="0058356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58356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Подпрограмма Социальная поддержка граждан и реализация демографической политики в муниципальном образовании</w:t>
            </w:r>
          </w:p>
        </w:tc>
      </w:tr>
      <w:tr w:rsidR="00583565" w:rsidRPr="0021797F" w:rsidTr="00583565">
        <w:trPr>
          <w:trHeight w:val="301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616833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Основное мероприятие Социальная поддержка граждан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реализация демографической политики в муниципальном образовании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5 чел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2022 - 5чел.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5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5 чел.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2025- 5 чел.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 Удельный вес участников Великой Отечественной войны, получивших единовременную материальную помощь ко дню Победы и по случаю дня рождения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– 100%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2025 - 100%</w:t>
            </w: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267186" w:rsidRPr="0021797F" w:rsidRDefault="00267186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267186" w:rsidRPr="0021797F" w:rsidRDefault="00267186" w:rsidP="00267186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2179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Численность трудоустроенных на общественные работы граждан, ищущих работу и обратившихся в органы службы занятости, а также безработных граждан</w:t>
            </w:r>
          </w:p>
          <w:p w:rsidR="00267186" w:rsidRPr="0021797F" w:rsidRDefault="00267186" w:rsidP="00267186">
            <w:pPr>
              <w:widowControl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</w:tcPr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2021 –5чел;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2022 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2023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2024 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2025 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267186" w:rsidRPr="0021797F" w:rsidRDefault="00267186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Финансовое управление администрации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267186" w:rsidRPr="0021797F" w:rsidRDefault="00267186" w:rsidP="00267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179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  <w:p w:rsidR="00267186" w:rsidRPr="0021797F" w:rsidRDefault="00267186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</w:tcPr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– 4чел;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2022  –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2023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2024 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2025  – </w:t>
            </w:r>
            <w:r w:rsidR="00616833"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</w:t>
            </w: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чел;</w:t>
            </w:r>
          </w:p>
          <w:p w:rsidR="00267186" w:rsidRPr="0021797F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3565" w:rsidRPr="0021797F" w:rsidTr="00583565">
        <w:trPr>
          <w:trHeight w:val="239"/>
          <w:jc w:val="center"/>
        </w:trPr>
        <w:tc>
          <w:tcPr>
            <w:tcW w:w="552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4567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Основное мероприятие Оказание молодым семьям государственной поддержки для улучшения жилищных условий</w:t>
            </w:r>
          </w:p>
        </w:tc>
        <w:tc>
          <w:tcPr>
            <w:tcW w:w="3544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Администрация Палкинского района</w:t>
            </w:r>
          </w:p>
        </w:tc>
        <w:tc>
          <w:tcPr>
            <w:tcW w:w="4135" w:type="dxa"/>
            <w:shd w:val="clear" w:color="auto" w:fill="auto"/>
          </w:tcPr>
          <w:p w:rsidR="00B864C1" w:rsidRPr="0021797F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 Доля молодых семей улучшивших жилищные условия в общем количестве молодых семей</w:t>
            </w:r>
          </w:p>
        </w:tc>
        <w:tc>
          <w:tcPr>
            <w:tcW w:w="2086" w:type="dxa"/>
            <w:shd w:val="clear" w:color="auto" w:fill="auto"/>
          </w:tcPr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2021 - 2%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2022 - 3%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2023 – 4%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2024 -5%</w:t>
            </w:r>
          </w:p>
          <w:p w:rsidR="00B864C1" w:rsidRPr="0021797F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1797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2025 – 10%</w:t>
            </w:r>
          </w:p>
        </w:tc>
      </w:tr>
    </w:tbl>
    <w:p w:rsidR="00B864C1" w:rsidRPr="000A2503" w:rsidRDefault="00B864C1" w:rsidP="00B864C1">
      <w:pPr>
        <w:widowControl/>
        <w:suppressAutoHyphens/>
        <w:spacing w:afterAutospacing="1"/>
        <w:ind w:left="709" w:right="680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B864C1" w:rsidRPr="000A2503" w:rsidRDefault="00B864C1" w:rsidP="00B864C1">
      <w:pPr>
        <w:widowControl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sectPr w:rsidR="00B864C1" w:rsidRPr="000A2503" w:rsidSect="0021797F">
      <w:pgSz w:w="16838" w:h="11906" w:orient="landscape"/>
      <w:pgMar w:top="702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C3" w:rsidRDefault="00C529C3" w:rsidP="005E1BA4">
      <w:r>
        <w:separator/>
      </w:r>
    </w:p>
  </w:endnote>
  <w:endnote w:type="continuationSeparator" w:id="0">
    <w:p w:rsidR="00C529C3" w:rsidRDefault="00C529C3" w:rsidP="005E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C3" w:rsidRDefault="00C529C3" w:rsidP="005E1BA4">
      <w:r>
        <w:separator/>
      </w:r>
    </w:p>
  </w:footnote>
  <w:footnote w:type="continuationSeparator" w:id="0">
    <w:p w:rsidR="00C529C3" w:rsidRDefault="00C529C3" w:rsidP="005E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A4" w:rsidRDefault="005E1BA4">
    <w:pPr>
      <w:pStyle w:val="afa"/>
      <w:jc w:val="center"/>
    </w:pPr>
  </w:p>
  <w:sdt>
    <w:sdtPr>
      <w:id w:val="1803499828"/>
      <w:docPartObj>
        <w:docPartGallery w:val="Page Numbers (Top of Page)"/>
        <w:docPartUnique/>
      </w:docPartObj>
    </w:sdtPr>
    <w:sdtContent>
      <w:p w:rsidR="005E1BA4" w:rsidRDefault="005E1BA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3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26"/>
    <w:multiLevelType w:val="multilevel"/>
    <w:tmpl w:val="3CB431AA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28660B7"/>
    <w:multiLevelType w:val="multilevel"/>
    <w:tmpl w:val="494086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08025B"/>
    <w:multiLevelType w:val="multilevel"/>
    <w:tmpl w:val="27AAFD9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E524482"/>
    <w:multiLevelType w:val="multilevel"/>
    <w:tmpl w:val="15AA9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3DE3"/>
    <w:multiLevelType w:val="multilevel"/>
    <w:tmpl w:val="D9D44878"/>
    <w:lvl w:ilvl="0">
      <w:start w:val="4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BE9775B"/>
    <w:multiLevelType w:val="multilevel"/>
    <w:tmpl w:val="4238EB1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CF4C71"/>
    <w:multiLevelType w:val="multilevel"/>
    <w:tmpl w:val="B3FE88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B1C7BD3"/>
    <w:multiLevelType w:val="multilevel"/>
    <w:tmpl w:val="1C78A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C4D"/>
    <w:rsid w:val="00027759"/>
    <w:rsid w:val="00044628"/>
    <w:rsid w:val="00067151"/>
    <w:rsid w:val="000A1CCB"/>
    <w:rsid w:val="000A2503"/>
    <w:rsid w:val="001138CB"/>
    <w:rsid w:val="00133D74"/>
    <w:rsid w:val="001345E6"/>
    <w:rsid w:val="001D182E"/>
    <w:rsid w:val="001F1BC9"/>
    <w:rsid w:val="0021797F"/>
    <w:rsid w:val="00221B4E"/>
    <w:rsid w:val="00267186"/>
    <w:rsid w:val="003A4BA2"/>
    <w:rsid w:val="003C0DB5"/>
    <w:rsid w:val="003D0453"/>
    <w:rsid w:val="00413C4D"/>
    <w:rsid w:val="00430C13"/>
    <w:rsid w:val="0047027B"/>
    <w:rsid w:val="004E16BB"/>
    <w:rsid w:val="004F0F82"/>
    <w:rsid w:val="00583565"/>
    <w:rsid w:val="00583BDD"/>
    <w:rsid w:val="005D1219"/>
    <w:rsid w:val="005D13B1"/>
    <w:rsid w:val="005E1BA4"/>
    <w:rsid w:val="00616833"/>
    <w:rsid w:val="00627E7D"/>
    <w:rsid w:val="006321DB"/>
    <w:rsid w:val="006863CB"/>
    <w:rsid w:val="00687A3E"/>
    <w:rsid w:val="00690311"/>
    <w:rsid w:val="006E58C5"/>
    <w:rsid w:val="00741C83"/>
    <w:rsid w:val="00747D78"/>
    <w:rsid w:val="00753F53"/>
    <w:rsid w:val="00795BB0"/>
    <w:rsid w:val="007A5B1C"/>
    <w:rsid w:val="00863310"/>
    <w:rsid w:val="00874EBA"/>
    <w:rsid w:val="00885B8D"/>
    <w:rsid w:val="008D5752"/>
    <w:rsid w:val="00963ECF"/>
    <w:rsid w:val="00A25161"/>
    <w:rsid w:val="00A50EDF"/>
    <w:rsid w:val="00A57A2A"/>
    <w:rsid w:val="00AD5B92"/>
    <w:rsid w:val="00B412A1"/>
    <w:rsid w:val="00B678F3"/>
    <w:rsid w:val="00B73623"/>
    <w:rsid w:val="00B74D58"/>
    <w:rsid w:val="00B864C1"/>
    <w:rsid w:val="00BA74D5"/>
    <w:rsid w:val="00BB64BC"/>
    <w:rsid w:val="00BF0679"/>
    <w:rsid w:val="00C05497"/>
    <w:rsid w:val="00C11E67"/>
    <w:rsid w:val="00C529C3"/>
    <w:rsid w:val="00C6415E"/>
    <w:rsid w:val="00CB2C19"/>
    <w:rsid w:val="00CC5F7B"/>
    <w:rsid w:val="00D008E3"/>
    <w:rsid w:val="00D375D2"/>
    <w:rsid w:val="00D5576E"/>
    <w:rsid w:val="00DA59EC"/>
    <w:rsid w:val="00E053F4"/>
    <w:rsid w:val="00E3312E"/>
    <w:rsid w:val="00E65231"/>
    <w:rsid w:val="00E8339B"/>
    <w:rsid w:val="00EB531D"/>
    <w:rsid w:val="00EB5C9A"/>
    <w:rsid w:val="00EE190A"/>
    <w:rsid w:val="00F14B39"/>
    <w:rsid w:val="00F66E60"/>
    <w:rsid w:val="00F82899"/>
    <w:rsid w:val="00FA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E"/>
    <w:pPr>
      <w:widowControl w:val="0"/>
    </w:pPr>
    <w:rPr>
      <w:rFonts w:ascii="Arial" w:hAnsi="Arial" w:cs="Arial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link w:val="1"/>
    <w:qFormat/>
    <w:rsid w:val="00B73155"/>
    <w:pPr>
      <w:outlineLvl w:val="0"/>
    </w:pPr>
  </w:style>
  <w:style w:type="character" w:customStyle="1" w:styleId="a4">
    <w:name w:val="Стиль мнм Знак"/>
    <w:qFormat/>
    <w:rsid w:val="00C87CDE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1">
    <w:name w:val="Заголовок 1 Знак"/>
    <w:basedOn w:val="a0"/>
    <w:link w:val="11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B731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A0EE3"/>
    <w:rPr>
      <w:color w:val="0000FF"/>
      <w:u w:val="single"/>
    </w:rPr>
  </w:style>
  <w:style w:type="character" w:customStyle="1" w:styleId="a6">
    <w:name w:val="Название Знак"/>
    <w:basedOn w:val="a0"/>
    <w:qFormat/>
    <w:rsid w:val="00B73155"/>
    <w:rPr>
      <w:rFonts w:ascii="Calibri" w:eastAsia="SimSun" w:hAnsi="Calibri" w:cs="Mangal"/>
      <w:i/>
      <w:iCs/>
      <w:color w:val="00000A"/>
      <w:sz w:val="24"/>
      <w:szCs w:val="24"/>
    </w:rPr>
  </w:style>
  <w:style w:type="character" w:customStyle="1" w:styleId="ListLabel1">
    <w:name w:val="ListLabel 1"/>
    <w:qFormat/>
    <w:rsid w:val="00B73155"/>
    <w:rPr>
      <w:rFonts w:cs="Times New Roman"/>
    </w:rPr>
  </w:style>
  <w:style w:type="character" w:customStyle="1" w:styleId="a7">
    <w:name w:val="Посещённая гиперссылка"/>
    <w:rsid w:val="00B73155"/>
    <w:rPr>
      <w:color w:val="800080"/>
      <w:u w:val="single"/>
    </w:rPr>
  </w:style>
  <w:style w:type="character" w:customStyle="1" w:styleId="a8">
    <w:name w:val="Основной текст Знак"/>
    <w:basedOn w:val="a0"/>
    <w:link w:val="10"/>
    <w:qFormat/>
    <w:rsid w:val="00B73155"/>
    <w:rPr>
      <w:rFonts w:ascii="Calibri" w:eastAsia="Calibri" w:hAnsi="Calibri"/>
      <w:color w:val="00000A"/>
      <w:sz w:val="22"/>
    </w:rPr>
  </w:style>
  <w:style w:type="character" w:customStyle="1" w:styleId="10">
    <w:name w:val="Название Знак1"/>
    <w:basedOn w:val="a0"/>
    <w:link w:val="a8"/>
    <w:qFormat/>
    <w:rsid w:val="00B73155"/>
    <w:rPr>
      <w:rFonts w:ascii="Calibri" w:eastAsia="Calibri" w:hAnsi="Calibri" w:cs="Mangal"/>
      <w:i/>
      <w:iCs/>
      <w:color w:val="00000A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qFormat/>
    <w:rsid w:val="00B73155"/>
    <w:rPr>
      <w:rFonts w:ascii="Tahoma" w:eastAsia="Calibri" w:hAnsi="Tahoma" w:cs="Tahoma"/>
      <w:color w:val="00000A"/>
      <w:sz w:val="16"/>
      <w:szCs w:val="16"/>
    </w:rPr>
  </w:style>
  <w:style w:type="character" w:customStyle="1" w:styleId="a9">
    <w:name w:val="Подзаголовок Знак"/>
    <w:basedOn w:val="a0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qFormat/>
    <w:rsid w:val="00B73155"/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qFormat/>
    <w:rsid w:val="00175D7E"/>
    <w:rPr>
      <w:color w:val="808080"/>
    </w:rPr>
  </w:style>
  <w:style w:type="character" w:customStyle="1" w:styleId="ListLabel2">
    <w:name w:val="ListLabel 2"/>
    <w:qFormat/>
    <w:rsid w:val="00413C4D"/>
    <w:rPr>
      <w:rFonts w:ascii="Times New Roman" w:eastAsia="Calibri" w:hAnsi="Times New Roman" w:cs="Times New Roman"/>
      <w:color w:val="000080"/>
      <w:sz w:val="22"/>
      <w:szCs w:val="22"/>
      <w:u w:val="single"/>
    </w:rPr>
  </w:style>
  <w:style w:type="character" w:customStyle="1" w:styleId="ListLabel3">
    <w:name w:val="ListLabel 3"/>
    <w:qFormat/>
    <w:rsid w:val="00413C4D"/>
    <w:rPr>
      <w:rFonts w:ascii="Times New Roman" w:eastAsia="Calibri" w:hAnsi="Times New Roman" w:cs="Times New Roman"/>
      <w:b/>
      <w:color w:val="000000"/>
      <w:sz w:val="22"/>
      <w:szCs w:val="22"/>
      <w:u w:val="single"/>
    </w:rPr>
  </w:style>
  <w:style w:type="character" w:customStyle="1" w:styleId="ListLabel4">
    <w:name w:val="ListLabel 4"/>
    <w:qFormat/>
    <w:rsid w:val="00413C4D"/>
    <w:rPr>
      <w:rFonts w:ascii="Times New Roman" w:eastAsia="Calibri" w:hAnsi="Times New Roman" w:cs="Times New Roman"/>
      <w:bCs/>
      <w:color w:val="000080"/>
      <w:sz w:val="22"/>
      <w:szCs w:val="22"/>
      <w:u w:val="single"/>
    </w:rPr>
  </w:style>
  <w:style w:type="character" w:customStyle="1" w:styleId="ListLabel5">
    <w:name w:val="ListLabel 5"/>
    <w:qFormat/>
    <w:rsid w:val="00413C4D"/>
    <w:rPr>
      <w:rFonts w:ascii="Times New Roman" w:eastAsia="Times New Roman" w:hAnsi="Times New Roman" w:cs="Times New Roman"/>
      <w:color w:val="000080"/>
      <w:sz w:val="22"/>
      <w:szCs w:val="22"/>
      <w:u w:val="single"/>
    </w:rPr>
  </w:style>
  <w:style w:type="character" w:customStyle="1" w:styleId="ListLabel6">
    <w:name w:val="ListLabel 6"/>
    <w:qFormat/>
    <w:rsid w:val="00413C4D"/>
    <w:rPr>
      <w:rFonts w:ascii="Times New Roman" w:eastAsia="Calibri" w:hAnsi="Times New Roman" w:cs="Times New Roman"/>
      <w:color w:val="0000FF"/>
      <w:sz w:val="22"/>
      <w:szCs w:val="22"/>
      <w:u w:val="single"/>
    </w:rPr>
  </w:style>
  <w:style w:type="paragraph" w:customStyle="1" w:styleId="a3">
    <w:name w:val="Заголовок"/>
    <w:basedOn w:val="a"/>
    <w:next w:val="ab"/>
    <w:qFormat/>
    <w:rsid w:val="00B73155"/>
    <w:pPr>
      <w:keepNext/>
      <w:widowControl/>
      <w:suppressAutoHyphens/>
      <w:spacing w:before="240" w:after="120" w:line="276" w:lineRule="auto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link w:val="2"/>
    <w:uiPriority w:val="99"/>
    <w:semiHidden/>
    <w:unhideWhenUsed/>
    <w:rsid w:val="00B73155"/>
    <w:pPr>
      <w:spacing w:after="120"/>
    </w:pPr>
  </w:style>
  <w:style w:type="paragraph" w:styleId="ac">
    <w:name w:val="List"/>
    <w:basedOn w:val="ab"/>
    <w:rsid w:val="00B73155"/>
    <w:pPr>
      <w:widowControl/>
      <w:suppressAutoHyphens/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customStyle="1" w:styleId="14">
    <w:name w:val="Название объекта1"/>
    <w:basedOn w:val="a"/>
    <w:qFormat/>
    <w:rsid w:val="00413C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B73155"/>
    <w:pPr>
      <w:widowControl/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ae">
    <w:name w:val="Стиль мнм"/>
    <w:basedOn w:val="af"/>
    <w:qFormat/>
    <w:rsid w:val="00C87CDE"/>
    <w:pPr>
      <w:widowControl/>
      <w:ind w:firstLine="708"/>
    </w:pPr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paragraph" w:styleId="af">
    <w:name w:val="No Spacing"/>
    <w:uiPriority w:val="1"/>
    <w:qFormat/>
    <w:rsid w:val="00C87CDE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20">
    <w:name w:val="Текст выноски Знак2"/>
    <w:basedOn w:val="a"/>
    <w:qFormat/>
    <w:rsid w:val="00B73155"/>
    <w:pPr>
      <w:widowControl/>
      <w:suppressAutoHyphens/>
      <w:spacing w:after="140" w:line="288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Название1"/>
    <w:basedOn w:val="a"/>
    <w:qFormat/>
    <w:rsid w:val="00B73155"/>
    <w:pPr>
      <w:widowControl/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110">
    <w:name w:val="Указатель 11"/>
    <w:basedOn w:val="a"/>
    <w:autoRedefine/>
    <w:uiPriority w:val="99"/>
    <w:semiHidden/>
    <w:unhideWhenUsed/>
    <w:qFormat/>
    <w:rsid w:val="00B73155"/>
    <w:pPr>
      <w:widowControl/>
      <w:suppressAutoHyphens/>
      <w:ind w:left="220" w:hanging="220"/>
    </w:pPr>
    <w:rPr>
      <w:rFonts w:ascii="Calibri" w:eastAsia="Calibri" w:hAnsi="Calibri" w:cs="Calibri"/>
      <w:sz w:val="22"/>
      <w:szCs w:val="22"/>
    </w:rPr>
  </w:style>
  <w:style w:type="paragraph" w:styleId="16">
    <w:name w:val="index 1"/>
    <w:basedOn w:val="a"/>
    <w:autoRedefine/>
    <w:uiPriority w:val="99"/>
    <w:semiHidden/>
    <w:unhideWhenUsed/>
    <w:qFormat/>
    <w:rsid w:val="00B73155"/>
    <w:pPr>
      <w:ind w:left="200" w:hanging="200"/>
    </w:pPr>
  </w:style>
  <w:style w:type="paragraph" w:styleId="af0">
    <w:name w:val="Balloon Text"/>
    <w:basedOn w:val="a"/>
    <w:link w:val="3"/>
    <w:uiPriority w:val="99"/>
    <w:semiHidden/>
    <w:unhideWhenUsed/>
    <w:qFormat/>
    <w:rsid w:val="00B73155"/>
    <w:pPr>
      <w:widowControl/>
      <w:suppressAutoHyphens/>
    </w:pPr>
    <w:rPr>
      <w:rFonts w:ascii="Tahoma" w:eastAsia="Calibri" w:hAnsi="Tahoma" w:cs="Tahoma"/>
      <w:sz w:val="16"/>
      <w:szCs w:val="16"/>
    </w:rPr>
  </w:style>
  <w:style w:type="paragraph" w:customStyle="1" w:styleId="17">
    <w:name w:val="Абзац списка1"/>
    <w:basedOn w:val="a"/>
    <w:uiPriority w:val="34"/>
    <w:qFormat/>
    <w:rsid w:val="00B73155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врезки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аголовок таблицы"/>
    <w:basedOn w:val="af2"/>
    <w:qFormat/>
    <w:rsid w:val="00B73155"/>
  </w:style>
  <w:style w:type="paragraph" w:customStyle="1" w:styleId="ConsPlusTitle">
    <w:name w:val="ConsPlusTitle"/>
    <w:qFormat/>
    <w:rsid w:val="00B73155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B73155"/>
    <w:pPr>
      <w:widowControl w:val="0"/>
      <w:suppressAutoHyphens/>
      <w:spacing w:before="80"/>
      <w:ind w:firstLine="720"/>
      <w:jc w:val="both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af4">
    <w:name w:val="Блочная цитата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5">
    <w:name w:val="Subtitle"/>
    <w:basedOn w:val="a3"/>
    <w:link w:val="18"/>
    <w:qFormat/>
    <w:rsid w:val="00B73155"/>
  </w:style>
  <w:style w:type="paragraph" w:styleId="af6">
    <w:name w:val="List Paragraph"/>
    <w:basedOn w:val="a"/>
    <w:uiPriority w:val="34"/>
    <w:qFormat/>
    <w:rsid w:val="00B73155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qFormat/>
    <w:rsid w:val="009A0EE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B73155"/>
  </w:style>
  <w:style w:type="table" w:customStyle="1" w:styleId="1a">
    <w:name w:val="Сетка таблицы1"/>
    <w:basedOn w:val="a1"/>
    <w:uiPriority w:val="59"/>
    <w:rsid w:val="00B7315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1F1BC9"/>
    <w:rPr>
      <w:color w:val="0000FF"/>
      <w:u w:val="single"/>
    </w:rPr>
  </w:style>
  <w:style w:type="character" w:customStyle="1" w:styleId="2">
    <w:name w:val="Основной текст Знак2"/>
    <w:basedOn w:val="a0"/>
    <w:link w:val="ab"/>
    <w:uiPriority w:val="99"/>
    <w:semiHidden/>
    <w:rsid w:val="00B864C1"/>
    <w:rPr>
      <w:rFonts w:ascii="Arial" w:hAnsi="Arial" w:cs="Arial"/>
      <w:color w:val="00000A"/>
      <w:szCs w:val="20"/>
    </w:rPr>
  </w:style>
  <w:style w:type="character" w:customStyle="1" w:styleId="3">
    <w:name w:val="Текст выноски Знак3"/>
    <w:basedOn w:val="a0"/>
    <w:link w:val="af0"/>
    <w:uiPriority w:val="99"/>
    <w:semiHidden/>
    <w:rsid w:val="00B864C1"/>
    <w:rPr>
      <w:rFonts w:ascii="Tahoma" w:hAnsi="Tahoma" w:cs="Tahoma"/>
      <w:color w:val="00000A"/>
      <w:sz w:val="16"/>
      <w:szCs w:val="16"/>
    </w:rPr>
  </w:style>
  <w:style w:type="character" w:customStyle="1" w:styleId="18">
    <w:name w:val="Подзаголовок Знак1"/>
    <w:basedOn w:val="a0"/>
    <w:link w:val="af5"/>
    <w:rsid w:val="00B864C1"/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afa">
    <w:name w:val="header"/>
    <w:basedOn w:val="a"/>
    <w:link w:val="afb"/>
    <w:uiPriority w:val="99"/>
    <w:unhideWhenUsed/>
    <w:rsid w:val="005E1BA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E1BA4"/>
    <w:rPr>
      <w:rFonts w:ascii="Arial" w:hAnsi="Arial" w:cs="Arial"/>
      <w:color w:val="00000A"/>
      <w:szCs w:val="20"/>
    </w:rPr>
  </w:style>
  <w:style w:type="paragraph" w:styleId="afc">
    <w:name w:val="footer"/>
    <w:basedOn w:val="a"/>
    <w:link w:val="afd"/>
    <w:uiPriority w:val="99"/>
    <w:unhideWhenUsed/>
    <w:rsid w:val="005E1BA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E1BA4"/>
    <w:rPr>
      <w:rFonts w:ascii="Arial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lkino.reg60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pskov.ru&#108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5;&#1088;&#1086;&#1075;&#1088;&#1072;&#1084;&#1084;&#1072;%207\&#1048;&#1079;&#1084;&#1077;&#1085;&#1077;&#1085;&#1080;&#1103;%202021\&#1087;&#1086;&#1089;&#1090;.%20&#1076;&#1083;&#1103;%20&#1080;&#1079;&#1084;&#1077;&#1085;&#1077;&#1085;&#1080;&#1103;%20&#1074;%20&#1087;&#1088;&#1086;&#1075;&#1088;&#1072;&#1084;&#1084;&#1091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7"/>
    <w:rsid w:val="00912BE7"/>
    <w:rsid w:val="00D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28C1D112F44FCBD9602A296EE5EC2">
    <w:name w:val="5D628C1D112F44FCBD9602A296EE5EC2"/>
    <w:rsid w:val="00912B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628C1D112F44FCBD9602A296EE5EC2">
    <w:name w:val="5D628C1D112F44FCBD9602A296EE5EC2"/>
    <w:rsid w:val="00912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54D48A-1A36-4B33-9709-8CFAFC11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cp:lastPrinted>2022-07-04T12:09:00Z</cp:lastPrinted>
  <dcterms:created xsi:type="dcterms:W3CDTF">2020-11-16T13:39:00Z</dcterms:created>
  <dcterms:modified xsi:type="dcterms:W3CDTF">2022-07-04T12:11:00Z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