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jc w:val="center"/>
        <w:rPr/>
      </w:pPr>
      <w:r>
        <w:rPr/>
        <w:drawing>
          <wp:inline distT="0" distB="0" distL="0" distR="0">
            <wp:extent cx="624840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38" t="-1243" r="-1538" b="-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>
          <w:b/>
          <w:bCs/>
          <w:sz w:val="36"/>
          <w:szCs w:val="36"/>
        </w:rPr>
        <w:t>ПОСТАНОВЛЕНИЕ</w:t>
      </w:r>
      <w:r>
        <w:rPr>
          <w:rFonts w:cs="Times New Roman"/>
          <w:sz w:val="36"/>
          <w:szCs w:val="36"/>
        </w:rPr>
        <w:t xml:space="preserve"> </w:t>
      </w:r>
    </w:p>
    <w:p>
      <w:pPr>
        <w:pStyle w:val="Normal"/>
        <w:spacing w:lineRule="auto" w:line="276" w:before="0" w:after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spacing w:lineRule="auto" w:line="276" w:before="0" w:after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от </w:t>
      </w:r>
      <w:r>
        <w:rPr>
          <w:rFonts w:cs="Times New Roman"/>
          <w:sz w:val="21"/>
          <w:szCs w:val="21"/>
        </w:rPr>
        <w:t>15.05.2026 г.</w:t>
      </w:r>
      <w:r>
        <w:rPr>
          <w:rFonts w:cs="Times New Roman"/>
          <w:sz w:val="21"/>
          <w:szCs w:val="21"/>
        </w:rPr>
        <w:t xml:space="preserve">№ </w:t>
      </w:r>
      <w:r>
        <w:rPr>
          <w:rFonts w:cs="Times New Roman"/>
          <w:sz w:val="21"/>
          <w:szCs w:val="21"/>
        </w:rPr>
        <w:t>267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1"/>
          <w:szCs w:val="21"/>
          <w:lang w:eastAsia="ar-SA"/>
        </w:rPr>
        <w:t xml:space="preserve">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1"/>
          <w:szCs w:val="21"/>
          <w:lang w:eastAsia="ar-SA"/>
        </w:rPr>
        <w:t xml:space="preserve">рп. Палкино </w:t>
      </w:r>
      <w:r>
        <w:rPr>
          <w:rFonts w:eastAsia="Times New Roman" w:cs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1"/>
          <w:szCs w:val="21"/>
          <w:lang w:eastAsia="ar-SA"/>
        </w:rPr>
        <w:t xml:space="preserve">   </w:t>
      </w:r>
    </w:p>
    <w:p>
      <w:pPr>
        <w:pStyle w:val="Normal"/>
        <w:shd w:fill="FFFFFF" w:val="clear"/>
        <w:jc w:val="center"/>
        <w:rPr/>
      </w:pPr>
      <w:r>
        <w:rPr/>
        <w:t xml:space="preserve"> 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widowControl w:val="false"/>
        <w:jc w:val="center"/>
        <w:rPr>
          <w:rFonts w:eastAsia="Lucida Sans Unicode"/>
          <w:b/>
          <w:bCs/>
          <w:kern w:val="2"/>
          <w:sz w:val="26"/>
          <w:szCs w:val="26"/>
          <w:lang w:bidi="hi-IN"/>
        </w:rPr>
      </w:pPr>
      <w:r>
        <w:rPr>
          <w:rFonts w:eastAsia="Lucida Sans Unicode"/>
          <w:b/>
          <w:bCs/>
          <w:kern w:val="2"/>
          <w:sz w:val="26"/>
          <w:szCs w:val="26"/>
          <w:lang w:bidi="hi-IN"/>
        </w:rPr>
        <w:t>Об утверждении перечня показателей качества муниципальных услуг (работ), оказываемых (выполняемых) муниципальными бюджетными</w:t>
      </w:r>
    </w:p>
    <w:p>
      <w:pPr>
        <w:pStyle w:val="Normal"/>
        <w:widowControl w:val="false"/>
        <w:jc w:val="center"/>
        <w:rPr/>
      </w:pPr>
      <w:r>
        <w:rPr>
          <w:rFonts w:eastAsia="Times New Roman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>образовательными учреждениями Палкинского муниципального округа</w:t>
      </w:r>
    </w:p>
    <w:p>
      <w:pPr>
        <w:pStyle w:val="Normal"/>
        <w:widowControl w:val="false"/>
        <w:jc w:val="center"/>
        <w:rPr>
          <w:rFonts w:eastAsia="Lucida Sans Unicode"/>
          <w:kern w:val="2"/>
          <w:sz w:val="24"/>
          <w:szCs w:val="24"/>
          <w:lang w:bidi="hi-IN"/>
        </w:rPr>
      </w:pPr>
      <w:r>
        <w:rPr>
          <w:rFonts w:eastAsia="Lucida Sans Unicode"/>
          <w:kern w:val="2"/>
          <w:sz w:val="24"/>
          <w:szCs w:val="24"/>
          <w:lang w:bidi="hi-IN"/>
        </w:rPr>
      </w:r>
    </w:p>
    <w:p>
      <w:pPr>
        <w:pStyle w:val="Normal"/>
        <w:widowControl w:val="false"/>
        <w:shd w:fill="FFFFFF" w:val="clear"/>
        <w:jc w:val="start"/>
        <w:rPr>
          <w:rFonts w:eastAsia="Lucida Sans Unicode"/>
          <w:kern w:val="2"/>
          <w:sz w:val="22"/>
          <w:szCs w:val="22"/>
          <w:lang w:bidi="hi-IN"/>
        </w:rPr>
      </w:pPr>
      <w:r>
        <w:rPr>
          <w:rFonts w:eastAsia="Lucida Sans Unicode"/>
          <w:kern w:val="2"/>
          <w:sz w:val="22"/>
          <w:szCs w:val="22"/>
          <w:lang w:bidi="hi-IN"/>
        </w:rPr>
      </w:r>
    </w:p>
    <w:p>
      <w:pPr>
        <w:pStyle w:val="Normal"/>
        <w:widowControl w:val="false"/>
        <w:shd w:fill="FFFFFF" w:val="clear"/>
        <w:jc w:val="both"/>
        <w:rPr/>
      </w:pPr>
      <w:r>
        <w:rPr>
          <w:rFonts w:eastAsia="Times New Roman"/>
          <w:kern w:val="2"/>
          <w:sz w:val="22"/>
          <w:szCs w:val="22"/>
          <w:lang w:bidi="hi-IN"/>
        </w:rPr>
        <w:t xml:space="preserve">         </w:t>
      </w:r>
      <w:r>
        <w:rPr>
          <w:rFonts w:eastAsia="Times New Roman"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kern w:val="2"/>
          <w:sz w:val="26"/>
          <w:szCs w:val="26"/>
          <w:lang w:bidi="hi-IN"/>
        </w:rPr>
        <w:t>В соответствии с постановлением Администрации Палкинского муниципального округа от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 w:val="false"/>
          <w:bCs w:val="false"/>
          <w:kern w:val="2"/>
          <w:sz w:val="26"/>
          <w:szCs w:val="26"/>
          <w:lang w:bidi="hi-IN"/>
        </w:rPr>
        <w:t>07.05.2026г. № 227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 «</w:t>
      </w:r>
      <w:r>
        <w:rPr>
          <w:rFonts w:eastAsia="Lucida Sans Unicode"/>
          <w:kern w:val="2"/>
          <w:sz w:val="26"/>
          <w:szCs w:val="26"/>
          <w:lang w:bidi="hi-IN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Палкинского района и финансового обеспечения выполнения муниципального задания», Администрация Палкинского муниципального округа 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>ПОСТАНОВЛЯЕТ</w:t>
      </w:r>
      <w:r>
        <w:rPr>
          <w:rFonts w:eastAsia="Lucida Sans Unicode"/>
          <w:kern w:val="2"/>
          <w:sz w:val="26"/>
          <w:szCs w:val="26"/>
          <w:lang w:bidi="hi-IN"/>
        </w:rPr>
        <w:t xml:space="preserve"> :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перечень показателей качества муниципальных услуг (работ), оказываемых (выполняемых) муниципальными бюджетными   учреждениями культуры и муниципальными бюджетными образовательными учреждениями, согласно приложению.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Палкинского района от 17.02.2016 г. № 62 «Об утверждении перечня показателей качества муниципальных услуг (работ), оказываемых (выполняемых) муниципальными бюджетными образовательными учреждениями Палкинского района» признать утратившими силу.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01 января 2026 года.</w:t>
      </w:r>
    </w:p>
    <w:p>
      <w:pPr>
        <w:pStyle w:val="Normal"/>
        <w:numPr>
          <w:ilvl w:val="0"/>
          <w:numId w:val="2"/>
        </w:numPr>
        <w:shd w:fill="FFFFFF" w:val="clear"/>
        <w:jc w:val="both"/>
        <w:rPr/>
      </w:pPr>
      <w:r>
        <w:rPr>
          <w:sz w:val="26"/>
          <w:szCs w:val="26"/>
        </w:rPr>
        <w:t>Опубликовать н</w:t>
      </w:r>
      <w:r>
        <w:rPr>
          <w:sz w:val="26"/>
          <w:szCs w:val="26"/>
          <w:lang w:bidi="hi-IN"/>
        </w:rPr>
        <w:t xml:space="preserve">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color w:val="000000"/>
            <w:sz w:val="26"/>
            <w:szCs w:val="26"/>
            <w:u w:val="single" w:color="000000"/>
            <w:lang w:bidi="hi-IN"/>
          </w:rPr>
          <w:t>http://pravo.pskov.ru</w:t>
        </w:r>
      </w:hyperlink>
      <w:r>
        <w:rPr>
          <w:rStyle w:val="Hyperlink"/>
          <w:color w:val="000000"/>
          <w:sz w:val="26"/>
          <w:szCs w:val="26"/>
          <w:u w:val="none"/>
          <w:lang w:bidi="hi-IN"/>
        </w:rPr>
        <w:t xml:space="preserve"> </w:t>
      </w:r>
      <w:r>
        <w:rPr>
          <w:rStyle w:val="Hyperlink"/>
          <w:color w:val="000000"/>
          <w:sz w:val="26"/>
          <w:szCs w:val="26"/>
          <w:u w:val="none"/>
          <w:lang w:val="ru-RU" w:bidi="hi-IN"/>
        </w:rPr>
        <w:t xml:space="preserve">и разместить </w:t>
      </w:r>
      <w:r>
        <w:rPr>
          <w:color w:val="000000"/>
          <w:sz w:val="26"/>
          <w:szCs w:val="26"/>
          <w:lang w:bidi="hi-IN"/>
        </w:rPr>
        <w:t xml:space="preserve">на официальном сайте муниципального образования </w:t>
      </w:r>
      <w:r>
        <w:rPr>
          <w:rFonts w:eastAsia="Lucida Sans Unicode"/>
          <w:color w:val="000000"/>
          <w:sz w:val="26"/>
          <w:szCs w:val="26"/>
          <w:lang w:bidi="hi-IN"/>
        </w:rPr>
        <w:t xml:space="preserve"> </w:t>
      </w:r>
      <w:hyperlink r:id="rId4">
        <w:r>
          <w:rPr>
            <w:rStyle w:val="Hyperlink"/>
            <w:rFonts w:eastAsia="Lucida Sans Unicode"/>
            <w:color w:val="000000"/>
            <w:sz w:val="26"/>
            <w:szCs w:val="26"/>
            <w:lang w:bidi="hi-IN"/>
          </w:rPr>
          <w:t>https://palkino.gosuslugi.ru/</w:t>
        </w:r>
      </w:hyperlink>
      <w:r>
        <w:rPr>
          <w:rFonts w:eastAsia="Lucida Sans Unicode"/>
          <w:color w:val="000000"/>
          <w:sz w:val="26"/>
          <w:szCs w:val="26"/>
          <w:lang w:bidi="hi-IN"/>
        </w:rPr>
        <w:t xml:space="preserve"> в информационно-телекоммуникационной сети «Интернет».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rFonts w:cs="Times New Roman"/>
          <w:color w:val="000000"/>
          <w:kern w:val="2"/>
          <w:sz w:val="26"/>
          <w:szCs w:val="26"/>
          <w:lang w:val="ru-RU"/>
        </w:rPr>
      </w:pPr>
      <w:r>
        <w:rPr>
          <w:rFonts w:cs="Times New Roman"/>
          <w:color w:val="000000"/>
          <w:kern w:val="2"/>
          <w:sz w:val="26"/>
          <w:szCs w:val="26"/>
          <w:lang w:val="ru-RU"/>
        </w:rPr>
        <w:t>Контроль за исполнением настоящего постановления возложить на начальника финансового управления Администрации Палкинского муниципального округа Никифорову Н.Н.</w:t>
      </w:r>
    </w:p>
    <w:p>
      <w:pPr>
        <w:pStyle w:val="Normal"/>
        <w:shd w:fill="FFFFFF" w:val="clear"/>
        <w:jc w:val="start"/>
        <w:rPr/>
      </w:pPr>
      <w:r>
        <w:rPr/>
        <w:t xml:space="preserve">        </w:t>
      </w:r>
    </w:p>
    <w:p>
      <w:pPr>
        <w:pStyle w:val="Normal"/>
        <w:shd w:fill="FFFFFF" w:val="clear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Глава Палкинского </w:t>
      </w:r>
    </w:p>
    <w:p>
      <w:pPr>
        <w:pStyle w:val="Normal"/>
        <w:spacing w:lineRule="auto" w:line="300"/>
        <w:jc w:val="start"/>
        <w:rPr>
          <w:sz w:val="26"/>
          <w:szCs w:val="26"/>
        </w:rPr>
      </w:pPr>
      <w:r>
        <w:rPr>
          <w:sz w:val="26"/>
          <w:szCs w:val="26"/>
        </w:rPr>
        <w:t>муниципального округа                                                                                        О.С. Потапова</w:t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eastAsia="Courier New" w:cs="Times New Roman"/>
          <w:kern w:val="2"/>
          <w:sz w:val="24"/>
          <w:szCs w:val="24"/>
          <w:u w:val="none"/>
          <w:lang w:eastAsia="ru-RU" w:bidi="ar-SA"/>
        </w:rPr>
      </w:pPr>
      <w:r>
        <w:rPr/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eastAsia="Courier New" w:cs="Times New Roman"/>
          <w:kern w:val="2"/>
          <w:sz w:val="24"/>
          <w:szCs w:val="24"/>
          <w:u w:val="none"/>
          <w:lang w:eastAsia="ru-RU" w:bidi="ar-SA"/>
        </w:rPr>
      </w:pPr>
      <w:r>
        <w:rPr>
          <w:rFonts w:eastAsia="Courier New" w:cs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Fonts w:eastAsia="Courier New" w:cs="Times New Roman"/>
          <w:kern w:val="2"/>
          <w:sz w:val="24"/>
          <w:szCs w:val="24"/>
          <w:u w:val="none"/>
          <w:lang w:eastAsia="ru-RU" w:bidi="ar-SA"/>
        </w:rPr>
        <w:t>Палкинского муниципального округа Кос</w:t>
      </w:r>
      <w:r>
        <w:rPr>
          <w:sz w:val="22"/>
          <w:szCs w:val="22"/>
        </w:rPr>
        <w:t xml:space="preserve">                                                                        </w:t>
      </w:r>
    </w:p>
    <w:p>
      <w:pPr>
        <w:pStyle w:val="Normal"/>
        <w:spacing w:lineRule="auto" w:line="300"/>
        <w:jc w:val="end"/>
        <w:rPr/>
      </w:pPr>
      <w:r>
        <w:rPr>
          <w:sz w:val="18"/>
          <w:szCs w:val="18"/>
        </w:rPr>
        <w:t>приложение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Палкинского  муниципального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округа от </w:t>
      </w:r>
      <w:r>
        <w:rPr>
          <w:sz w:val="18"/>
          <w:szCs w:val="18"/>
        </w:rPr>
        <w:t>15/05.</w:t>
      </w:r>
      <w:r>
        <w:rPr>
          <w:sz w:val="18"/>
          <w:szCs w:val="18"/>
        </w:rPr>
        <w:t xml:space="preserve">2026 г. № </w:t>
      </w:r>
      <w:r>
        <w:rPr>
          <w:sz w:val="18"/>
          <w:szCs w:val="18"/>
        </w:rPr>
        <w:t>267</w:t>
      </w:r>
      <w:r>
        <w:rPr>
          <w:sz w:val="18"/>
          <w:szCs w:val="18"/>
        </w:rPr>
        <w:t xml:space="preserve">    </w:t>
      </w:r>
      <w:r>
        <w:rPr/>
        <w:t xml:space="preserve">  </w:t>
      </w:r>
    </w:p>
    <w:p>
      <w:pPr>
        <w:pStyle w:val="Normal"/>
        <w:spacing w:lineRule="auto" w:line="300"/>
        <w:jc w:val="end"/>
        <w:rPr/>
      </w:pPr>
      <w:r>
        <w:rPr/>
      </w:r>
    </w:p>
    <w:p>
      <w:pPr>
        <w:pStyle w:val="WW-"/>
        <w:bidi w:val="0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 ПОКАЗАТЕЛЕЙ  КАЧЕСТВА  МУНИЦИПАЛЬНЫХ  УСЛУГ (РАБОТ), ОКАЗЫВАЕМЫХ  (ВЫПОЛНЯЕМЫХ) МУНИЦИПАЛЬНЫМИ  БЮДЖЕТНЫМИ  ОБРАЗОВАТЕЛЬНЫМИ  УЧРЕЖДЕНИЯМИ  </w:t>
      </w:r>
    </w:p>
    <w:p>
      <w:pPr>
        <w:pStyle w:val="WW-"/>
        <w:bidi w:val="0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ПАЛКИНСКОГО   МУНИЦИПАЛЬНОГО ОКРУГА</w:t>
      </w:r>
    </w:p>
    <w:p>
      <w:pPr>
        <w:pStyle w:val="WW-"/>
        <w:bidi w:val="0"/>
        <w:spacing w:before="0" w:after="0"/>
        <w:jc w:val="center"/>
        <w:rPr/>
      </w:pPr>
      <w:r>
        <w:rPr/>
      </w:r>
    </w:p>
    <w:tbl>
      <w:tblPr>
        <w:tblW w:w="14778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0"/>
        <w:gridCol w:w="3290"/>
        <w:gridCol w:w="4389"/>
        <w:gridCol w:w="3699"/>
      </w:tblGrid>
      <w:tr>
        <w:trPr/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муниципальных учреждений (групп учреждений), оказывающих муниципальную услугу (выполняющих работу)</w:t>
            </w:r>
          </w:p>
        </w:tc>
        <w:tc>
          <w:tcPr>
            <w:tcW w:w="32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</w:p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(работы)</w:t>
            </w:r>
          </w:p>
        </w:tc>
        <w:tc>
          <w:tcPr>
            <w:tcW w:w="43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  <w:tc>
          <w:tcPr>
            <w:tcW w:w="36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расчёта значении показателя качества муниципальной услуги (работы)</w:t>
            </w:r>
          </w:p>
        </w:tc>
      </w:tr>
      <w:tr>
        <w:trPr>
          <w:trHeight w:val="1438" w:hRule="atLeast"/>
        </w:trPr>
        <w:tc>
          <w:tcPr>
            <w:tcW w:w="340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lineRule="atLeast" w:line="100"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"Палкинская средняя школа"</w:t>
            </w:r>
          </w:p>
          <w:p>
            <w:pPr>
              <w:pStyle w:val="WW-"/>
              <w:bidi w:val="0"/>
              <w:spacing w:lineRule="atLeast" w:line="100"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"Вернявинская средняя школа"</w:t>
            </w:r>
          </w:p>
          <w:p>
            <w:pPr>
              <w:pStyle w:val="WW-"/>
              <w:bidi w:val="0"/>
              <w:spacing w:lineRule="atLeast" w:line="100"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"Качановская средняя школа"</w:t>
            </w:r>
          </w:p>
          <w:p>
            <w:pPr>
              <w:pStyle w:val="WW-"/>
              <w:bidi w:val="0"/>
              <w:spacing w:lineRule="atLeast" w:line="100"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Добычинская средняя школа</w:t>
            </w:r>
          </w:p>
          <w:p>
            <w:pPr>
              <w:pStyle w:val="WW-"/>
              <w:bidi w:val="0"/>
              <w:spacing w:lineRule="atLeast" w:line="100"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"Харлапковская основная школа"</w:t>
            </w:r>
          </w:p>
        </w:tc>
        <w:tc>
          <w:tcPr>
            <w:tcW w:w="32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Предоставление общедоступного бесплатного начального, основного, среднего общего образования по основным общеобразовательным и дополнительным программам</w:t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охват всеми формами обучения несовершеннолетних, (%);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ОФО=ЧО / ОЧД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ОФО- охват всеми формами обучения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ЧО- численность обучающихся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ОЧД- общая численность детей, зарегистрированных в микрорайоне школы</w:t>
            </w:r>
          </w:p>
        </w:tc>
      </w:tr>
      <w:tr>
        <w:trPr>
          <w:trHeight w:val="1440" w:hRule="atLeast"/>
        </w:trPr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ООП= ЧДОП /  ОЧО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ООП- освоение образовательных программам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ЧДОП- численность детей, освоивших программы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ОЧО- общая численность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освоения обучающимися основной общеобразовательной программы основного общего образования по завершению второй ступени общего образования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ООП= ЧДОП /  ОЧО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ООП- освоение образовательных программам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ЧДОП- численность детей, освоивших программы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ОЧО- общая численность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освоения обучающимися основной общеобразовательной программы среднего общего образования по завершению третьей ступени общего образования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ООП= ЧДОП /  ОЧО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ООП- освоение образовательных программам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ЧДОП- численность детей, освоивших программы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ОЧО- общая численность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соответствия учебного плана общеобразовательного учреждения требованиям ФГОС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-количество и доля укомплектованности педагогическими кадрами (чел. и 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-качество знаний обучающихся (%);</w:t>
            </w:r>
          </w:p>
          <w:p>
            <w:pPr>
              <w:pStyle w:val="WW-"/>
              <w:bidi w:val="0"/>
              <w:spacing w:before="0" w:after="0"/>
              <w:jc w:val="start"/>
              <w:rPr/>
            </w:pPr>
            <w:r>
              <w:rPr/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КЗ= ЧД 4 и 5 / ОЧА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КЗ- качество знаний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 4 и 5- численность обучающихся на «4» и «5»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ОЧА- общая численность аттестуемых  обучающих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средний балл ЕГЭ по русскому языку;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СБР= ОКБР / ЧВ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СБР- средний балл по русскому языку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ОКБР- общее количество баллов по русскому языку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ЧВ- численность выпускников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средний балл ЕГЭ по математике;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СБМ= ОКБР / ЧВ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СБМ- средний балл по математике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ОКБМ- общее количество баллов по математике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ЧВ- численность выпускников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-результаты ГИА по основным предметам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РГИА= ЧД  / ОЧА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РГИА- результаты ГИА по основным предметам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 - численность обучающихся, прошедших ГИА по основным предметам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ОЧА- общая численность аттестуемых 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-количество и доля педагогических работников, прошедших повышение квалификации в соответствии с ФГОС (чел. и 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КПКФ=ЧУ/ОКПх100%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КПКФ-количество педагогов, прошедших повышение квалификации в соответствии и ФГОС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ОКП-общее количество педагогических работников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-количество учеников, учителей, принявших участие  в конкурсах различных уровней (чел.);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-результаты промежуточной аттестации обучающихся (чел. и 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РПАО= ЧДОП /  ОЧО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РПАО- результат промежуточной аттестации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ЧДПА- численность детей, прошедших аттестацию</w:t>
            </w:r>
          </w:p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ОЧО- общая численность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охват детей горячим питанием (%);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ОДГП- охват детей горячим питанием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СЧУОГП- среднегодовая численность учащихся, охваченных горячим питанием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СЧУВ- среднегодовая численность учащихся всего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доля педагогических кадров с высшим профессиональным образованием (от общего числа педагогов в 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ДПК= КПВО / ОКП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ДПК- доля педагогических кадров с высшим профессиональным образованием от общего числа педагогов в 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КПВО- количество педагогов, имеющих высшее профессиональное образование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ОКП- общее количество педагогов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случаи детского травматизма (чел.);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-показатель количества выпускников, получивших аттестат об основном общем образовании.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Отношение числа обучающихся, получивших аттестат об основном  общем образовании, к общему числу обучающихся 9-х  классов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-показатель количества выпускников, получивших аттестат о среднем общем образовании.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Отношение числа обучающихся, получивших аттестат о среднем общем образовании, к общему числу обучающихся  11-х классов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своевременно устраненных обще-образовательным учреждением нарушений, выявленных в результате проверок органами исполнительной власти субъектов Россий-ской Федерации, осуществляющими функции по контролю и надзору в сфере образования 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"Качановская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«Вернявинская средняя школа»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МБДОУ детский сад   «Тополёк»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детский сад «Солнышко» филиал МБДОУ детский сад   «Тополёк»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детский сад «Ягодка» филиал МБДОУ детский сад   «Тополёк»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детский сад «Колокольчик»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филиал  МБДОУ детский сад   «Тополёк»</w:t>
            </w:r>
          </w:p>
        </w:tc>
        <w:tc>
          <w:tcPr>
            <w:tcW w:w="32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2.Предоставление общедоступного бесплатного дошкольного образования (включая детей с ограниченными возможностями здоровья и детей от 3-х до 7-и лет с туберкулезной интоксикацией)</w:t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общее количество воспитанников ОУ (чел)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-охват детей дошкольным образованием (%), в т.ч.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5лет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7 лет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ОДДО = ЧВД / ОЧДМ 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ОДДО- охват детей дошкольным образованием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ЧВД- численность воспитанников ДОУ, указанной возрастной категории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ОЧДМ- общая численность детей, указанной возраст-ной категории, проживающих в микрорайоне ОУ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средняя посещаемость  (%);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СП= ФКД / ПКД х100%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СП- средняя посещаемость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ФКД- фактическое  количество детодней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ПКД- плановое количество детодней (среднегодовая численность детей  х  число дней работы учреждения)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-регулярность получения услуги дошкольно-го образования (доля посещения одним ребенком)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РПУ= ФКД / ПКД х100%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РПУ-регулярность получения услуги ДО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ФКД- фактическое  количество детодней 1 ребенка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ПКД- плановое количество детодней (среднегодовая численность детей  х  число дней работы учреждения)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-освоение программ на среднем и высоком уровне (%);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ОП= КДОП / ОКД х100%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ОП- освоение программ (на среднем, высоком уровне)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КДОП- количество детей, освоивших программу на среднем, высоком уровне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ОКД- общее количество детей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-охват воспитанников дополнительными образовательными программами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ОДДП= КДОП / ОКД х100%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ОДДП-охват детей дополнительными ОП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КДОП- количество детей, освоивших программу дополнительного образования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ОКД- общее количество детей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заболеваемости детей по сравнению с предыдущим годом (детодни);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СУЗД=ЧДПБ/СУД</w:t>
            </w:r>
          </w:p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СУЗД-средний уровень заболеваемости детей</w:t>
            </w:r>
          </w:p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ЧДПБ-число дней, пропущенных по болезни</w:t>
            </w:r>
          </w:p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СУД-среднесписочный состав детей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-индекс здоровья детей (доля выполнения натуральных норм по основным продуктам питания)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-доля родителей (законных представителей), удовлетворенных качеством предоставляемой услуги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соответствия учебного плана общеобразовательного учреждения требованиям ФГОС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своевременно устраненных обще-образовательным учреждением нарушений, выявленных в результате проверок органами исполнительной власти субъектов Россий-ской Федерации, осуществляющими функции по контролю и надзору в сфере образования 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"Палкинская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"Вернявинская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"Качановская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Добычинская средняя школа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"Харлапковская основная школа"</w:t>
            </w:r>
          </w:p>
        </w:tc>
        <w:tc>
          <w:tcPr>
            <w:tcW w:w="32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 Обучение детей с ограниченными возможностями здоровья (при наличии контингента обучающихся)</w:t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-доля обучающихся с ограниченными возм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ожностями здоровья, для которых созданы специальные условия для получения образования в учреждении.(%)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Отношение количества обучающихся с ограниченными возможностями здоровья, для которых созданы специальные условия для получения образования в учреждении, к количеству нуждающихся.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обучающихся, с ограниченными возможностями здоровья, переведенных в следующий класс. 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Отношение количества обучающихся с ограниченными возможностями здоровья, переведенных в следующий класс, к общему количеству обучающихся.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-у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ровень освоения обучающимися основной общеобразовательной программы основного общего образования по завершению второй ступени общего образования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Отношение обучающихся, усвоивших основную общеобразовательную программу основного общего образования, к общему количеству обучающихся общеобразовательного учреждения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-уровень соответствия учебного плана общеобразовательного учреждения требованиям федерального базисного учебного плана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педагогов с высшим профессиональным образованием от общего числа педагогов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Отношение количества педагогов с высшим образованием, к общему количеству педагогов.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widowControl/>
              <w:bidi w:val="0"/>
              <w:spacing w:before="0" w:after="0"/>
              <w:ind w:end="57"/>
              <w:jc w:val="star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>-д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своевременно устраненных обще-образовательным учреждением нарушений, выявленных в результате проверок органами исполнительной власти субъектов Россий-ской Федерации, осуществляющими функции по контролю и надзору в сфере образования 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"Палкинская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"Вернявинская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"Качановская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Добычинская средняя школа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"Харлапковская основная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ДО «Дом детского творчества»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ДО «Детская школа искусств»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МБДОУ детский сад «Тополёк»</w:t>
            </w:r>
          </w:p>
        </w:tc>
        <w:tc>
          <w:tcPr>
            <w:tcW w:w="32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4.Предоставление дополнительного образования детям</w:t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-доля обучающихся, занимающихся по программам дополнительного образования в учреждении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ДОЗДО= ЧОДО / ОЧОУ х 100%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ДОЗДО- доля обучающихся, занимающихся по программе дополнительного образования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ЧОДО- численность обучающихся по программам дополнительного образования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ОЧОУ- общая численность обучающихся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/>
            </w:pPr>
            <w:r>
              <w:rPr>
                <w:sz w:val="20"/>
                <w:szCs w:val="20"/>
              </w:rPr>
              <w:t>- к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оличество открытых мероприятий (число)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-доля детей, ставших победителями и призерами региональных, всероссийских и международных мероприятий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/>
            </w:pPr>
            <w:r>
              <w:rPr>
                <w:sz w:val="20"/>
                <w:szCs w:val="20"/>
              </w:rPr>
              <w:t xml:space="preserve">Отношение количества обучающихся, ставших победителями и призерами  </w:t>
            </w:r>
            <w:r>
              <w:rPr>
                <w:sz w:val="18"/>
                <w:szCs w:val="18"/>
              </w:rPr>
              <w:t>региональных, всероссийских и международных мероприятий к общему числу участников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ind w:end="57"/>
              <w:jc w:val="start"/>
              <w:rPr/>
            </w:pPr>
            <w:bookmarkStart w:id="1" w:name="__DdeLink__3908_1249817609"/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>д</w:t>
            </w:r>
            <w:bookmarkEnd w:id="1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 (%)</w:t>
            </w:r>
          </w:p>
          <w:p>
            <w:pPr>
              <w:pStyle w:val="WW-"/>
              <w:bidi w:val="0"/>
              <w:spacing w:before="0" w:after="0"/>
              <w:ind w:end="57"/>
              <w:jc w:val="start"/>
              <w:rPr/>
            </w:pPr>
            <w:r>
              <w:rPr/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"Палкинская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"Вернявинская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"Качановская средняя школа"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МБОУ Добычинская средняя школа</w:t>
            </w:r>
          </w:p>
          <w:p>
            <w:pPr>
              <w:pStyle w:val="WW-"/>
              <w:bidi w:val="0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"Харлапковская основная школа"</w:t>
            </w:r>
          </w:p>
        </w:tc>
        <w:tc>
          <w:tcPr>
            <w:tcW w:w="32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Организация отдыха детей в каникулярное время</w:t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lineRule="atLeast" w:line="270" w:before="0" w:after="0"/>
              <w:ind w:start="30" w:end="30"/>
              <w:jc w:val="start"/>
              <w:rPr/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детей, охваченных организованными формами отдыха и занятости в каникулярное время.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WW-"/>
              <w:bidi w:val="0"/>
              <w:spacing w:lineRule="atLeast" w:line="270" w:before="0" w:after="0"/>
              <w:ind w:start="30" w:end="30"/>
              <w:jc w:val="star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Отношение количества детей, охваченных организованными формами отдыха и занятости в каникулярное время, к общему количеству обучающихся.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ind w:end="57"/>
              <w:jc w:val="star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-случаи детского травматизма  (число)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ind w:end="57"/>
              <w:jc w:val="star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 количество массовых культурно-досуговых мероприятий в каникулярное время (число)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widowControl/>
              <w:bidi w:val="0"/>
              <w:spacing w:before="0" w:after="0"/>
              <w:ind w:end="57"/>
              <w:jc w:val="star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  <w:tr>
        <w:trPr/>
        <w:tc>
          <w:tcPr>
            <w:tcW w:w="340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WW-"/>
              <w:bidi w:val="0"/>
              <w:spacing w:before="0" w:after="0"/>
              <w:ind w:end="57"/>
              <w:jc w:val="start"/>
              <w:rPr/>
            </w:pP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 (%)</w:t>
            </w:r>
          </w:p>
        </w:tc>
        <w:tc>
          <w:tcPr>
            <w:tcW w:w="36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</w:tr>
    </w:tbl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005" w:right="851" w:gutter="0" w:header="709" w:top="1134" w:footer="72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2"/>
        <w:kern w:val="2"/>
        <w:szCs w:val="22"/>
        <w:rFonts w:cs="Times New Roman"/>
        <w:color w:val="000000"/>
        <w:lang w:val="ru-RU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en-US" w:bidi="ar-SA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  <w:szCs w:val="24"/>
      <w:lang w:eastAsia="ar-SA"/>
    </w:rPr>
  </w:style>
  <w:style w:type="character" w:styleId="WW8Num2z0">
    <w:name w:val="WW8Num2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36"/>
      <w:szCs w:val="24"/>
      <w:lang w:eastAsia="ar-SA"/>
    </w:rPr>
  </w:style>
  <w:style w:type="character" w:styleId="Style13">
    <w:name w:val="Основной текст Знак"/>
    <w:basedOn w:val="DefaultParagraphFont"/>
    <w:qFormat/>
    <w:rPr>
      <w:rFonts w:ascii="Liberation Serif;Times New Roman" w:hAnsi="Liberation Serif;Times New Roman" w:eastAsia="SimSun" w:cs="Mangal"/>
      <w:kern w:val="2"/>
      <w:sz w:val="24"/>
      <w:szCs w:val="24"/>
      <w:lang w:eastAsia="zh-CN" w:bidi="hi-IN"/>
    </w:rPr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нумерации"/>
    <w:qFormat/>
    <w:rPr/>
  </w:style>
  <w:style w:type="character" w:styleId="Hyperlink">
    <w:name w:val="Hyperlink"/>
    <w:rPr>
      <w:color w:val="0000FF"/>
      <w:u w:val="single"/>
      <w:lang w:val="zxx" w:eastAsia="zxx" w:bidi="zxx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8">
    <w:name w:val="Основной шрифт абзаца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00"/>
      <w:szCs w:val="20"/>
      <w:lang w:eastAsia="ar-SA"/>
    </w:rPr>
  </w:style>
  <w:style w:type="character" w:styleId="7">
    <w:name w:val="Основной текст (7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5">
    <w:name w:val="Основной текст (5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eastAsia="ru-RU" w:bidi="ru-RU"/>
    </w:rPr>
  </w:style>
  <w:style w:type="character" w:styleId="TimesNewRoman13pt">
    <w:name w:val="Колонтитул + Times New Roman;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Calibri45pt">
    <w:name w:val="Колонтитул + Calibri;4;5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9"/>
      <w:szCs w:val="9"/>
      <w:u w:val="none"/>
      <w:lang w:eastAsia="ru-RU" w:bidi="ru-RU"/>
    </w:rPr>
  </w:style>
  <w:style w:type="character" w:styleId="Calibri4pt">
    <w:name w:val="Колонтитул + Calibri;4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eastAsia="ru-RU" w:bidi="ru-RU"/>
    </w:rPr>
  </w:style>
  <w:style w:type="character" w:styleId="11">
    <w:name w:val="Заголовок №1_"/>
    <w:qFormat/>
    <w:rPr>
      <w:rFonts w:ascii="Times New Roman" w:hAnsi="Times New Roman" w:eastAsia="Times New Roman" w:cs="Times New Roman"/>
      <w:color w:val="000000"/>
      <w:sz w:val="32"/>
      <w:szCs w:val="32"/>
      <w:shd w:fill="FFFFFF" w:val="clear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2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character" w:styleId="3">
    <w:name w:val="Основной текст (3)_"/>
    <w:qFormat/>
    <w:rPr>
      <w:rFonts w:ascii="Times New Roman" w:hAnsi="Times New Roman" w:eastAsia="Times New Roman" w:cs="Times New Roman"/>
      <w:color w:val="000000"/>
      <w:sz w:val="28"/>
      <w:szCs w:val="28"/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start="0" w:end="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numPr>
        <w:ilvl w:val="0"/>
        <w:numId w:val="0"/>
      </w:numPr>
      <w:spacing w:lineRule="auto" w:line="288" w:before="0" w:after="140"/>
      <w:ind w:hanging="0" w:start="0" w:end="0"/>
    </w:pPr>
    <w:rPr>
      <w:rFonts w:ascii="Liberation Serif;Times New Roman" w:hAnsi="Liberation Serif;Times New Roman" w:eastAsia="SimSun" w:cs="Mangal"/>
      <w:kern w:val="2"/>
      <w:sz w:val="24"/>
      <w:szCs w:val="24"/>
      <w:lang w:eastAsia="zh-CN" w:bidi="hi-IN"/>
    </w:rPr>
  </w:style>
  <w:style w:type="paragraph" w:styleId="List">
    <w:name w:val="List"/>
    <w:basedOn w:val="BodyText"/>
    <w:pPr>
      <w:numPr>
        <w:ilvl w:val="0"/>
        <w:numId w:val="0"/>
      </w:numPr>
      <w:ind w:hanging="0" w:start="0" w:end="0"/>
    </w:pPr>
    <w:rPr>
      <w:rFonts w:cs="Lucida Sans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cs="Lucida Sans"/>
      <w:lang w:val="ru-RU" w:eastAsia="ru-RU" w:bidi="ru-RU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start="0" w:end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0" w:after="0"/>
      <w:ind w:hanging="0" w:start="0" w:end="0"/>
    </w:pPr>
    <w:rPr/>
  </w:style>
  <w:style w:type="paragraph" w:styleId="Style22">
    <w:name w:val="Колонтитул"/>
    <w:basedOn w:val="Normal"/>
    <w:qFormat/>
    <w:pPr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ind w:hanging="0" w:start="0"/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ind w:hanging="0" w:start="0" w:end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ind w:hanging="0" w:start="0" w:end="0"/>
    </w:pPr>
    <w:rPr/>
  </w:style>
  <w:style w:type="paragraph" w:styleId="Style23">
    <w:name w:val="Содержимое врезки"/>
    <w:basedOn w:val="Normal"/>
    <w:qFormat/>
    <w:pPr>
      <w:numPr>
        <w:ilvl w:val="0"/>
        <w:numId w:val="0"/>
      </w:numPr>
      <w:ind w:hanging="0" w:start="0" w:end="0"/>
    </w:pPr>
    <w:rPr/>
  </w:style>
  <w:style w:type="paragraph" w:styleId="Style24">
    <w:name w:val="Содержимое таблицы"/>
    <w:basedOn w:val="Normal"/>
    <w:qFormat/>
    <w:pPr>
      <w:widowControl w:val="false"/>
      <w:numPr>
        <w:ilvl w:val="0"/>
        <w:numId w:val="0"/>
      </w:numPr>
      <w:suppressLineNumbers/>
      <w:ind w:hanging="0" w:start="0" w:end="0"/>
    </w:pPr>
    <w:rPr/>
  </w:style>
  <w:style w:type="paragraph" w:styleId="Style25">
    <w:name w:val="Заголовок таблицы"/>
    <w:basedOn w:val="Style24"/>
    <w:qFormat/>
    <w:pPr>
      <w:numPr>
        <w:ilvl w:val="0"/>
        <w:numId w:val="0"/>
      </w:numPr>
      <w:suppressLineNumbers/>
      <w:ind w:hanging="0" w:start="0" w:end="0"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WW-">
    <w:name w:val="WW-Базовый"/>
    <w:qFormat/>
    <w:pPr>
      <w:widowControl w:val="false"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Times New Roman" w:hAnsi="Times New Roman" w:eastAsia="SimSun;宋体" w:cs="Mangal"/>
      <w:color w:val="00000A"/>
      <w:sz w:val="24"/>
      <w:szCs w:val="24"/>
      <w:lang w:val="ru-RU" w:eastAsia="zh-CN" w:bidi="hi-IN"/>
    </w:rPr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Style26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2">
    <w:name w:val="Название1"/>
    <w:basedOn w:val="Normal"/>
    <w:qFormat/>
    <w:pPr>
      <w:spacing w:before="120" w:after="120"/>
    </w:pPr>
    <w:rPr>
      <w:i/>
      <w:iCs/>
    </w:rPr>
  </w:style>
  <w:style w:type="paragraph" w:styleId="13">
    <w:name w:val="Указатель1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7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8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29">
    <w:name w:val="Нормальный (таблица)"/>
    <w:basedOn w:val="Normal"/>
    <w:next w:val="Normal"/>
    <w:qFormat/>
    <w:pPr/>
    <w:rPr/>
  </w:style>
  <w:style w:type="paragraph" w:styleId="31">
    <w:name w:val="Основной текст 3"/>
    <w:basedOn w:val="Normal"/>
    <w:qFormat/>
    <w:pPr>
      <w:jc w:val="both"/>
    </w:pPr>
    <w:rPr>
      <w:i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ConsPlusNormal">
    <w:name w:val="ConsPlu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360" w:before="0" w:after="0"/>
      <w:ind w:firstLine="720" w:start="0" w:end="0"/>
      <w:jc w:val="start"/>
    </w:pPr>
    <w:rPr>
      <w:rFonts w:ascii="Arial" w:hAnsi="Arial" w:eastAsia="Arial" w:cs="Calibri"/>
      <w:color w:val="auto"/>
      <w:kern w:val="2"/>
      <w:sz w:val="2"/>
      <w:szCs w:val="2"/>
      <w:lang w:val="ru-RU" w:eastAsia="ar-SA" w:bidi="ar-SA"/>
    </w:rPr>
  </w:style>
  <w:style w:type="paragraph" w:styleId="14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/>
  </w:style>
  <w:style w:type="paragraph" w:styleId="15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16">
    <w:name w:val="Заголовок №1"/>
    <w:basedOn w:val="Normal"/>
    <w:qFormat/>
    <w:pPr>
      <w:widowControl w:val="false"/>
      <w:shd w:fill="FFFFFF" w:val="clear"/>
      <w:spacing w:lineRule="exact" w:line="240" w:before="240" w:after="0"/>
    </w:pPr>
    <w:rPr>
      <w:rFonts w:ascii="Times New Roman" w:hAnsi="Times New Roman" w:eastAsia="Times New Roman" w:cs="Times New Roman"/>
      <w:sz w:val="32"/>
      <w:szCs w:val="32"/>
    </w:rPr>
  </w:style>
  <w:style w:type="paragraph" w:styleId="23">
    <w:name w:val="Заголовок №2"/>
    <w:basedOn w:val="Normal"/>
    <w:qFormat/>
    <w:pPr>
      <w:widowControl w:val="false"/>
      <w:shd w:fill="FFFFFF" w:val="clear"/>
      <w:spacing w:lineRule="exact" w:line="240" w:before="600" w:after="0"/>
      <w:jc w:val="both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 w:bidi="ru-RU"/>
    </w:rPr>
  </w:style>
  <w:style w:type="paragraph" w:styleId="32">
    <w:name w:val="Основной текст (3)"/>
    <w:basedOn w:val="Normal"/>
    <w:qFormat/>
    <w:pPr>
      <w:widowControl w:val="false"/>
      <w:shd w:fill="FFFFFF" w:val="clear"/>
      <w:spacing w:lineRule="exact" w:line="518" w:before="0" w:after="24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Indexheading">
    <w:name w:val="index heading"/>
    <w:basedOn w:val="Normal"/>
    <w:qFormat/>
    <w:pPr/>
    <w:rPr>
      <w:rFonts w:cs="Arial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3">
    <w:name w:val="caption3"/>
    <w:basedOn w:val="Normal"/>
    <w:qFormat/>
    <w:pPr>
      <w:spacing w:before="120" w:after="120"/>
    </w:pPr>
    <w:rPr>
      <w:rFonts w:cs="Arial"/>
      <w:i/>
      <w:i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hyperlink" Target="https://palkino.gosuslugi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LibreOffice/7.6.4.1$Windows_X86_64 LibreOffice_project/e19e193f88cd6c0525a17fb7a176ed8e6a3e2aa1</Application>
  <AppVersion>15.0000</AppVersion>
  <Pages>6</Pages>
  <Words>1558</Words>
  <Characters>11856</Characters>
  <CharactersWithSpaces>14603</CharactersWithSpaces>
  <Paragraphs>215</Paragraphs>
  <Company>ГБУ ПО ЦИС ПО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2026-05-19T09:08:48Z</cp:lastPrinted>
  <dcterms:modified xsi:type="dcterms:W3CDTF">2026-05-19T09:06:24Z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