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</w:t>
      </w:r>
      <w:bookmarkStart w:id="0" w:name="_Hlk177402612"/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нформация 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21 ноября 2023 г. № 1944 утверждены: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вводятся требования для участников оборота товаров, осуществляющих розничную реализацию товаров, </w:t>
      </w:r>
      <w:r>
        <w:rPr>
          <w:rFonts w:cs="Times New Roman" w:ascii="Times New Roman" w:hAnsi="Times New Roman"/>
          <w:sz w:val="28"/>
          <w:szCs w:val="28"/>
          <w:highlight w:val="yellow"/>
        </w:rPr>
        <w:t>по проверке кода маркировки при продаже: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безалкогольных напитков и соков: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highlight w:val="yellow"/>
        </w:rPr>
        <w:t>в режиме реального времени (в режиме онлайн)</w:t>
      </w:r>
      <w:r>
        <w:rPr>
          <w:rFonts w:cs="Times New Roman" w:ascii="Times New Roman" w:hAnsi="Times New Roman"/>
          <w:sz w:val="28"/>
          <w:szCs w:val="28"/>
        </w:rPr>
        <w:t xml:space="preserve"> для безалкогольных напитков и соков, указанных в подпункте ""а" пункта 3 постановления № 887 - с 5 февраля 2025 г.;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безалкогольных напитков, указанных в подпункте "б" пункта 3 постановления № 887 - с 1 июня 2025 г.;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  <w:t>- не в режиме реального времени (в режиме офлайн)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  <w:lang w:val="ru-RU"/>
        </w:rPr>
        <w:t>для всех продавцов</w:t>
      </w: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- с 1 июня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2) медицинских изделий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2"/>
      </w:r>
      <w:bookmarkStart w:id="1" w:name="_Hlk188449749"/>
      <w:r>
        <w:rPr>
          <w:rFonts w:cs="Times New Roman" w:ascii="Times New Roman" w:hAnsi="Times New Roman"/>
          <w:sz w:val="28"/>
          <w:szCs w:val="28"/>
          <w:lang w:val="ru-RU"/>
        </w:rPr>
        <w:t>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1"/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 1 марта 2025 г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highlight w:val="yellow"/>
        </w:rPr>
        <w:t>в режиме реального времени (в режиме онлайн)</w:t>
      </w:r>
      <w:r>
        <w:rPr>
          <w:rFonts w:cs="Times New Roman" w:ascii="Times New Roman" w:hAnsi="Times New Roman"/>
          <w:sz w:val="28"/>
          <w:szCs w:val="28"/>
        </w:rPr>
        <w:t xml:space="preserve"> для всех продавцов, </w:t>
      </w:r>
      <w:bookmarkStart w:id="2" w:name="_Hlk197347351"/>
      <w:r>
        <w:rPr>
          <w:rFonts w:cs="Times New Roman" w:ascii="Times New Roman" w:hAnsi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для продавцов, за исключением продавцов - крупных торговых сетей</w:t>
      </w:r>
      <w:r>
        <w:rPr>
          <w:rStyle w:val="Style11"/>
          <w:sz w:val="28"/>
          <w:szCs w:val="28"/>
          <w:highlight w:val="yellow"/>
        </w:rPr>
        <w:footnoteReference w:id="3"/>
      </w:r>
      <w:r>
        <w:rPr>
          <w:rFonts w:cs="Times New Roman" w:ascii="Times New Roman" w:hAnsi="Times New Roman"/>
          <w:sz w:val="28"/>
          <w:szCs w:val="28"/>
          <w:highlight w:val="yellow"/>
        </w:rPr>
        <w:t>;</w:t>
      </w:r>
      <w:bookmarkEnd w:id="2"/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sz w:val="28"/>
          <w:szCs w:val="28"/>
          <w:highlight w:val="yellow"/>
        </w:rPr>
        <w:t>с 1 мая 2025 г.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для крупных торговых сетей;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3) кресел-колясок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  <w:lang w:val="ru-RU"/>
        </w:rPr>
        <w:t>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sz w:val="28"/>
          <w:szCs w:val="28"/>
        </w:rPr>
        <w:t>с 1 марта 2025 г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highlight w:val="yellow"/>
        </w:rPr>
        <w:t>в режиме реального времени (в режиме онлайн)</w:t>
      </w:r>
      <w:r>
        <w:rPr>
          <w:rFonts w:cs="Times New Roman" w:ascii="Times New Roman" w:hAnsi="Times New Roman"/>
          <w:sz w:val="28"/>
          <w:szCs w:val="28"/>
        </w:rPr>
        <w:t xml:space="preserve"> для всех продавцов, </w:t>
      </w:r>
      <w:r>
        <w:rPr>
          <w:rFonts w:cs="Times New Roman" w:ascii="Times New Roman" w:hAnsi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для продавцов, за исключением продавцов - крупных торговых сетей;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sz w:val="28"/>
          <w:szCs w:val="28"/>
          <w:highlight w:val="yellow"/>
        </w:rPr>
        <w:t>с 1 мая 2025 г.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для крупных торговых сетей;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sz w:val="28"/>
          <w:szCs w:val="28"/>
        </w:rPr>
        <w:t>с 1 марта 2025 г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highlight w:val="yellow"/>
        </w:rPr>
        <w:t>для продавцов, за исключением продавцов - крупных торговых сетей;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sz w:val="28"/>
          <w:szCs w:val="28"/>
          <w:highlight w:val="yellow"/>
        </w:rPr>
        <w:t>с 1 мая 2025 г.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для крупных торговых сетей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табачной продукции, никотинсодержащей и безникотиновой продукции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молочной продукции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упакованной воды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 пива, напитков, изготавливаемых на основе пива, </w:t>
        <w:br/>
        <w:t>и отдельных видов слабоалкогольных напитков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биологически активных добавок к пище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0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обувных 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1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товаров легкой промышленности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  <w:lang w:val="ru-RU"/>
        </w:rPr>
        <w:t>(за исключением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товаров «3-ей волны»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2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фототоваров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3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шин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4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духов и туалетной воды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медицинских изделий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6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кресел-колясок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.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4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https://честныйзнак.рф/business/projects/tobacco/checkout/helper/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5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https://честныйзнак.рф/business/projects/dairy/checkout/helper/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6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https://честныйзнак.рф/business/projects/water/checkout/helper/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hyperlink r:id="rId7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https://честныйзнак.рф/business/projects/beer/helper/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8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https://честныйзнак.рф/business/projects/antiseptic/helper/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9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https://честныйзнак.рф/business/projects/dietarysup/helper/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0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https://честныйзнак.рф/business/projects/footwear/helper/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1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https://честныйзнак.рф/business/projects/light_industry/helper/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2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https://честныйзнак.рф/business/projects/photo_cameras_and_flashbulbs/helper/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3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https://честныйзнак.рф/business/projects/tyres/helper/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4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https://честныйзнак.рф/business/projects/perfumes/helper/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5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https://честныйзнак.рф/business/projects/medical_devices/checkout/helper/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  <w:bookmarkStart w:id="3" w:name="_Hlk177402612_Копия_1"/>
      <w:bookmarkStart w:id="4" w:name="_Hlk177402612_Копия_1"/>
      <w:bookmarkEnd w:id="0"/>
      <w:bookmarkEnd w:id="4"/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1"/>
        <w:rPr>
          <w:sz w:val="13"/>
          <w:szCs w:val="13"/>
        </w:rPr>
      </w:pPr>
      <w:r>
        <w:rPr>
          <w:rStyle w:val="Style10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3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4">
    <w:p>
      <w:pPr>
        <w:pStyle w:val="Style21"/>
        <w:rPr>
          <w:sz w:val="13"/>
          <w:szCs w:val="13"/>
        </w:rPr>
      </w:pPr>
      <w:r>
        <w:rPr>
          <w:rStyle w:val="Style10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5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6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7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</w:t>
      </w:r>
      <w:r>
        <w:rPr>
          <w:rFonts w:cs="Times New Roman" w:ascii="Times New Roman" w:hAnsi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8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9">
    <w:p>
      <w:pPr>
        <w:pStyle w:val="Style21"/>
        <w:jc w:val="both"/>
        <w:rPr>
          <w:rFonts w:ascii="Times New Roman" w:hAnsi="Times New Roman" w:cs="Times New Roman"/>
          <w:sz w:val="13"/>
          <w:szCs w:val="13"/>
          <w:shd w:fill="FFFFFF" w:val="clear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10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1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2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3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4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5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bookmarkStart w:id="5" w:name="_Hlk188448348_Копия_1_Копия_1"/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5"/>
    </w:p>
  </w:footnote>
  <w:footnote w:id="16">
    <w:p>
      <w:pPr>
        <w:pStyle w:val="Style21"/>
        <w:rPr/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Style8">
    <w:name w:val="FollowedHyperlink"/>
    <w:basedOn w:val="DefaultParagraphFont"/>
    <w:uiPriority w:val="99"/>
    <w:semiHidden/>
    <w:unhideWhenUsed/>
    <w:rsid w:val="00176e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9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10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>
    <w:name w:val="Символ концевой сноски"/>
    <w:qFormat/>
    <w:rPr/>
  </w:style>
  <w:style w:type="character" w:styleId="Style13">
    <w:name w:val="Endnote Reference"/>
    <w:rPr>
      <w:vertAlign w:val="superscript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 w:hanging="0"/>
      <w:contextualSpacing/>
    </w:pPr>
    <w:rPr/>
  </w:style>
  <w:style w:type="paragraph" w:styleId="Style21">
    <w:name w:val="Footnote Text"/>
    <w:basedOn w:val="Normal"/>
    <w:link w:val="Style9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oflayn-proverka-na-kassakh-lokalnyy-modul-chz" TargetMode="External"/><Relationship Id="rId3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5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6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7" Type="http://schemas.openxmlformats.org/officeDocument/2006/relationships/hyperlink" Target="https://&#1095;&#1077;&#1089;&#1090;&#1085;&#1099;&#1081;&#1079;&#1085;&#1072;&#1082;.&#1088;&#1092;/business/projects/beer/helper/" TargetMode="External"/><Relationship Id="rId8" Type="http://schemas.openxmlformats.org/officeDocument/2006/relationships/hyperlink" Target="https://&#1095;&#1077;&#1089;&#1090;&#1085;&#1099;&#1081;&#1079;&#1085;&#1072;&#1082;.&#1088;&#1092;/business/projects/antiseptic/helper/" TargetMode="External"/><Relationship Id="rId9" Type="http://schemas.openxmlformats.org/officeDocument/2006/relationships/hyperlink" Target="https://&#1095;&#1077;&#1089;&#1090;&#1085;&#1099;&#1081;&#1079;&#1085;&#1072;&#1082;.&#1088;&#1092;/business/projects/dietarysup/helper/" TargetMode="External"/><Relationship Id="rId10" Type="http://schemas.openxmlformats.org/officeDocument/2006/relationships/hyperlink" Target="https://&#1095;&#1077;&#1089;&#1090;&#1085;&#1099;&#1081;&#1079;&#1085;&#1072;&#1082;.&#1088;&#1092;/business/projects/footwear/helper/" TargetMode="External"/><Relationship Id="rId11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12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13" Type="http://schemas.openxmlformats.org/officeDocument/2006/relationships/hyperlink" Target="https://&#1095;&#1077;&#1089;&#1090;&#1085;&#1099;&#1081;&#1079;&#1085;&#1072;&#1082;.&#1088;&#1092;/business/projects/tyres/helper/" TargetMode="External"/><Relationship Id="rId14" Type="http://schemas.openxmlformats.org/officeDocument/2006/relationships/hyperlink" Target="https://&#1095;&#1077;&#1089;&#1090;&#1085;&#1099;&#1081;&#1079;&#1085;&#1072;&#1082;.&#1088;&#1092;/business/projects/perfumes/helper/" TargetMode="External"/><Relationship Id="rId15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16" Type="http://schemas.openxmlformats.org/officeDocument/2006/relationships/footnotes" Target="footnotes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LibreOffice/7.5.5.2$Windows_X86_64 LibreOffice_project/ca8fe7424262805f223b9a2334bc7181abbcbf5e</Application>
  <AppVersion>15.0000</AppVersion>
  <Pages>3</Pages>
  <Words>852</Words>
  <Characters>6368</Characters>
  <CharactersWithSpaces>7178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2024-09-23T09:00:00Z</dcterms:created>
  <dc:creator>Халимонова Ксения</dc:creator>
  <dc:description/>
  <dc:language>ru-RU</dc:language>
  <cp:lastModifiedBy/>
  <dcterms:modified xsi:type="dcterms:W3CDTF">2025-05-15T09:59:29Z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